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启宪瓦渣箐甘塘水电移民安置点高清视频监控系统采购</w:t>
      </w:r>
      <w:r>
        <w:rPr>
          <w:rFonts w:hint="eastAsia"/>
          <w:b/>
          <w:bCs/>
          <w:sz w:val="36"/>
          <w:szCs w:val="36"/>
        </w:rPr>
        <w:t>公开招标公告</w:t>
      </w:r>
    </w:p>
    <w:p>
      <w:pPr>
        <w:widowControl/>
        <w:spacing w:line="360" w:lineRule="auto"/>
        <w:jc w:val="left"/>
        <w:rPr>
          <w:rFonts w:hint="eastAsia" w:hAnsi="宋体"/>
          <w:b/>
          <w:bCs/>
          <w:sz w:val="32"/>
          <w:szCs w:val="32"/>
        </w:rPr>
      </w:pPr>
      <w:r>
        <w:rPr>
          <w:rFonts w:hint="eastAsia" w:hAnsi="宋体"/>
          <w:b/>
          <w:bCs/>
          <w:sz w:val="32"/>
          <w:szCs w:val="32"/>
        </w:rPr>
        <w:t xml:space="preserve"> </w:t>
      </w:r>
    </w:p>
    <w:p>
      <w:pPr>
        <w:widowControl/>
        <w:spacing w:line="360" w:lineRule="auto"/>
        <w:rPr>
          <w:rFonts w:hint="eastAsia" w:hAnsi="宋体"/>
          <w:b/>
          <w:bCs/>
          <w:sz w:val="24"/>
          <w:szCs w:val="24"/>
        </w:rPr>
      </w:pPr>
      <w:r>
        <w:rPr>
          <w:rFonts w:hint="eastAsia" w:hAnsi="宋体"/>
          <w:b/>
          <w:bCs/>
          <w:sz w:val="24"/>
          <w:szCs w:val="24"/>
          <w:lang w:eastAsia="zh-CN"/>
        </w:rPr>
        <w:t>一</w:t>
      </w:r>
      <w:r>
        <w:rPr>
          <w:rFonts w:hint="eastAsia" w:hAnsi="宋体"/>
          <w:b/>
          <w:bCs/>
          <w:sz w:val="24"/>
          <w:szCs w:val="24"/>
        </w:rPr>
        <w:t>、招标条件</w:t>
      </w:r>
    </w:p>
    <w:p>
      <w:pPr>
        <w:widowControl/>
        <w:spacing w:line="360" w:lineRule="auto"/>
        <w:ind w:firstLine="720" w:firstLineChars="300"/>
        <w:rPr>
          <w:rFonts w:hint="eastAsia" w:hAnsi="宋体"/>
          <w:sz w:val="24"/>
          <w:szCs w:val="24"/>
        </w:rPr>
      </w:pPr>
      <w:r>
        <w:rPr>
          <w:rFonts w:hint="eastAsia" w:hAnsi="宋体"/>
          <w:sz w:val="24"/>
          <w:szCs w:val="24"/>
        </w:rPr>
        <w:t>根据《中华人民共和国政府采购法》、《中华人民共和国政府采购法实施条列》、《云南省政府采购条例》、《财政部87号令》等有关法律法规的规定，项目资金己落实。采购内容已得到主管部门的批准招标元采办【2019】7号。西双版纳正禾建设咨询有限公司受</w:t>
      </w:r>
      <w:r>
        <w:rPr>
          <w:rFonts w:hint="eastAsia" w:hAnsi="宋体"/>
          <w:bCs/>
          <w:sz w:val="24"/>
          <w:szCs w:val="24"/>
        </w:rPr>
        <w:t>元谋县移民开发局</w:t>
      </w:r>
      <w:r>
        <w:rPr>
          <w:rFonts w:hint="eastAsia" w:hAnsi="宋体"/>
          <w:sz w:val="24"/>
          <w:szCs w:val="24"/>
        </w:rPr>
        <w:t>的委托，本项目</w:t>
      </w:r>
      <w:r>
        <w:rPr>
          <w:rFonts w:hint="eastAsia" w:hAnsi="宋体"/>
          <w:b/>
          <w:sz w:val="24"/>
          <w:szCs w:val="24"/>
          <w:u w:val="single"/>
        </w:rPr>
        <w:t>启宪瓦渣箐甘塘水电移民安置点高清视频监控系统采购</w:t>
      </w:r>
      <w:r>
        <w:rPr>
          <w:rFonts w:hint="eastAsia" w:hAnsi="宋体"/>
          <w:bCs/>
          <w:sz w:val="24"/>
          <w:szCs w:val="24"/>
        </w:rPr>
        <w:t>项目</w:t>
      </w:r>
      <w:r>
        <w:rPr>
          <w:rFonts w:hint="eastAsia" w:hAnsi="宋体"/>
          <w:sz w:val="24"/>
          <w:szCs w:val="24"/>
        </w:rPr>
        <w:t>采用公开招标方式进行采购。现诚邀国内潜在投标人参加投标。</w:t>
      </w:r>
    </w:p>
    <w:p>
      <w:pPr>
        <w:widowControl/>
        <w:spacing w:line="360" w:lineRule="auto"/>
        <w:rPr>
          <w:rFonts w:hint="eastAsia" w:hAnsi="宋体"/>
          <w:sz w:val="24"/>
          <w:szCs w:val="24"/>
        </w:rPr>
      </w:pPr>
      <w:bookmarkStart w:id="0" w:name="_Toc333304384"/>
      <w:bookmarkStart w:id="1" w:name="_Toc337722669"/>
      <w:r>
        <w:rPr>
          <w:rFonts w:hint="eastAsia" w:hAnsi="宋体"/>
          <w:b/>
          <w:bCs/>
          <w:sz w:val="24"/>
          <w:szCs w:val="24"/>
          <w:lang w:eastAsia="zh-CN"/>
        </w:rPr>
        <w:t>二、</w:t>
      </w:r>
      <w:r>
        <w:rPr>
          <w:rFonts w:hint="eastAsia" w:hAnsi="宋体"/>
          <w:b/>
          <w:bCs/>
          <w:sz w:val="24"/>
          <w:szCs w:val="24"/>
        </w:rPr>
        <w:t>项目概况</w:t>
      </w:r>
      <w:bookmarkEnd w:id="0"/>
      <w:bookmarkEnd w:id="1"/>
    </w:p>
    <w:p>
      <w:pPr>
        <w:widowControl/>
        <w:spacing w:line="360" w:lineRule="auto"/>
        <w:ind w:firstLine="480" w:firstLineChars="200"/>
        <w:rPr>
          <w:rFonts w:hint="eastAsia" w:hAnsi="宋体"/>
          <w:bCs/>
          <w:sz w:val="24"/>
          <w:szCs w:val="24"/>
        </w:rPr>
      </w:pPr>
      <w:r>
        <w:rPr>
          <w:rFonts w:hint="eastAsia" w:hAnsi="宋体"/>
          <w:bCs/>
          <w:sz w:val="24"/>
          <w:szCs w:val="24"/>
        </w:rPr>
        <w:t>2.1项目名称：启宪瓦渣箐甘塘水电移民安置点高清视频监控系统采购；</w:t>
      </w:r>
    </w:p>
    <w:p>
      <w:pPr>
        <w:widowControl/>
        <w:spacing w:line="360" w:lineRule="auto"/>
        <w:ind w:firstLine="480" w:firstLineChars="200"/>
        <w:rPr>
          <w:rFonts w:hint="eastAsia" w:hAnsi="宋体"/>
          <w:bCs/>
          <w:sz w:val="24"/>
          <w:szCs w:val="24"/>
        </w:rPr>
      </w:pPr>
      <w:r>
        <w:rPr>
          <w:rFonts w:hint="eastAsia" w:hAnsi="宋体"/>
          <w:bCs/>
          <w:sz w:val="24"/>
          <w:szCs w:val="24"/>
        </w:rPr>
        <w:t>2.2招标编号：正禾招字2019-008；</w:t>
      </w:r>
    </w:p>
    <w:p>
      <w:pPr>
        <w:widowControl/>
        <w:spacing w:line="360" w:lineRule="auto"/>
        <w:ind w:firstLine="480" w:firstLineChars="200"/>
        <w:rPr>
          <w:rFonts w:hint="eastAsia" w:hAnsi="宋体"/>
          <w:bCs/>
          <w:sz w:val="24"/>
          <w:szCs w:val="24"/>
        </w:rPr>
      </w:pPr>
      <w:r>
        <w:rPr>
          <w:rFonts w:hint="eastAsia" w:hAnsi="宋体"/>
          <w:bCs/>
          <w:sz w:val="24"/>
          <w:szCs w:val="24"/>
        </w:rPr>
        <w:t>2.3采购预算（最高限价</w:t>
      </w:r>
      <w:r>
        <w:rPr>
          <w:rFonts w:hint="eastAsia" w:hAnsi="宋体"/>
          <w:bCs/>
          <w:color w:val="000000"/>
          <w:sz w:val="24"/>
          <w:szCs w:val="24"/>
        </w:rPr>
        <w:t>）：1980000.00元。投标人投标报价</w:t>
      </w:r>
      <w:r>
        <w:rPr>
          <w:rFonts w:hint="eastAsia" w:hAnsi="宋体"/>
          <w:bCs/>
          <w:sz w:val="24"/>
          <w:szCs w:val="24"/>
        </w:rPr>
        <w:t>不得高于招标控制价，否则投标无效。</w:t>
      </w:r>
    </w:p>
    <w:p>
      <w:pPr>
        <w:widowControl/>
        <w:spacing w:line="360" w:lineRule="auto"/>
        <w:ind w:firstLine="480" w:firstLineChars="200"/>
        <w:rPr>
          <w:rFonts w:hint="eastAsia" w:hAnsi="宋体"/>
          <w:bCs/>
          <w:sz w:val="24"/>
          <w:szCs w:val="24"/>
        </w:rPr>
      </w:pPr>
      <w:r>
        <w:rPr>
          <w:rFonts w:hint="eastAsia" w:hAnsi="宋体"/>
          <w:bCs/>
          <w:sz w:val="24"/>
          <w:szCs w:val="24"/>
        </w:rPr>
        <w:t>2.4交货期：合同签订后</w:t>
      </w:r>
      <w:r>
        <w:rPr>
          <w:rFonts w:hAnsi="宋体"/>
          <w:bCs/>
          <w:sz w:val="24"/>
          <w:szCs w:val="24"/>
        </w:rPr>
        <w:t>60</w:t>
      </w:r>
      <w:r>
        <w:rPr>
          <w:rFonts w:hint="eastAsia" w:hAnsi="宋体"/>
          <w:bCs/>
          <w:sz w:val="24"/>
          <w:szCs w:val="24"/>
        </w:rPr>
        <w:t>个日历天内完成供货、安装、调试、验收；</w:t>
      </w:r>
    </w:p>
    <w:p>
      <w:pPr>
        <w:widowControl/>
        <w:spacing w:line="360" w:lineRule="auto"/>
        <w:ind w:firstLine="480" w:firstLineChars="200"/>
        <w:rPr>
          <w:rFonts w:hint="eastAsia" w:hAnsi="宋体"/>
          <w:bCs/>
          <w:sz w:val="24"/>
          <w:szCs w:val="24"/>
        </w:rPr>
      </w:pPr>
      <w:r>
        <w:rPr>
          <w:rFonts w:hint="eastAsia" w:hAnsi="宋体"/>
          <w:bCs/>
          <w:sz w:val="24"/>
          <w:szCs w:val="24"/>
        </w:rPr>
        <w:t>2.5采购范围：采购范围如下表：</w:t>
      </w:r>
    </w:p>
    <w:tbl>
      <w:tblPr>
        <w:tblStyle w:val="6"/>
        <w:tblW w:w="8731" w:type="dxa"/>
        <w:jc w:val="center"/>
        <w:tblInd w:w="0" w:type="dxa"/>
        <w:tblLayout w:type="fixed"/>
        <w:tblCellMar>
          <w:top w:w="0" w:type="dxa"/>
          <w:left w:w="108" w:type="dxa"/>
          <w:bottom w:w="0" w:type="dxa"/>
          <w:right w:w="108" w:type="dxa"/>
        </w:tblCellMar>
      </w:tblPr>
      <w:tblGrid>
        <w:gridCol w:w="699"/>
        <w:gridCol w:w="4111"/>
        <w:gridCol w:w="880"/>
        <w:gridCol w:w="880"/>
        <w:gridCol w:w="2161"/>
      </w:tblGrid>
      <w:tr>
        <w:tblPrEx>
          <w:tblLayout w:type="fixed"/>
          <w:tblCellMar>
            <w:top w:w="0" w:type="dxa"/>
            <w:left w:w="108" w:type="dxa"/>
            <w:bottom w:w="0" w:type="dxa"/>
            <w:right w:w="108" w:type="dxa"/>
          </w:tblCellMar>
        </w:tblPrEx>
        <w:trPr>
          <w:trHeight w:val="240" w:hRule="atLeast"/>
          <w:jc w:val="center"/>
        </w:trPr>
        <w:tc>
          <w:tcPr>
            <w:tcW w:w="699" w:type="dxa"/>
            <w:tcBorders>
              <w:top w:val="single" w:color="auto" w:sz="8" w:space="0"/>
              <w:left w:val="single" w:color="auto" w:sz="8" w:space="0"/>
              <w:bottom w:val="nil"/>
              <w:right w:val="single" w:color="auto" w:sz="4" w:space="0"/>
            </w:tcBorders>
            <w:shd w:val="clear" w:color="000000" w:fill="A6A6A6"/>
            <w:vAlign w:val="center"/>
          </w:tcPr>
          <w:p>
            <w:pPr>
              <w:widowControl/>
              <w:jc w:val="center"/>
              <w:rPr>
                <w:rFonts w:hAnsi="宋体" w:cs="宋体"/>
                <w:bCs/>
                <w:kern w:val="0"/>
                <w:sz w:val="24"/>
                <w:szCs w:val="24"/>
              </w:rPr>
            </w:pPr>
            <w:r>
              <w:rPr>
                <w:rFonts w:hint="eastAsia" w:hAnsi="宋体" w:cs="宋体"/>
                <w:bCs/>
                <w:kern w:val="0"/>
                <w:sz w:val="24"/>
                <w:szCs w:val="24"/>
              </w:rPr>
              <w:t>序号</w:t>
            </w:r>
          </w:p>
        </w:tc>
        <w:tc>
          <w:tcPr>
            <w:tcW w:w="4111" w:type="dxa"/>
            <w:tcBorders>
              <w:top w:val="single" w:color="auto" w:sz="8" w:space="0"/>
              <w:left w:val="nil"/>
              <w:bottom w:val="nil"/>
              <w:right w:val="single" w:color="auto" w:sz="4" w:space="0"/>
            </w:tcBorders>
            <w:shd w:val="clear" w:color="000000" w:fill="A6A6A6"/>
            <w:vAlign w:val="center"/>
          </w:tcPr>
          <w:p>
            <w:pPr>
              <w:widowControl/>
              <w:jc w:val="center"/>
              <w:rPr>
                <w:rFonts w:hint="eastAsia" w:hAnsi="宋体" w:cs="宋体"/>
                <w:bCs/>
                <w:kern w:val="0"/>
                <w:sz w:val="24"/>
                <w:szCs w:val="24"/>
              </w:rPr>
            </w:pPr>
            <w:r>
              <w:rPr>
                <w:rFonts w:hint="eastAsia" w:hAnsi="宋体" w:cs="宋体"/>
                <w:bCs/>
                <w:kern w:val="0"/>
                <w:sz w:val="24"/>
                <w:szCs w:val="24"/>
              </w:rPr>
              <w:t>设备材料名称</w:t>
            </w:r>
          </w:p>
        </w:tc>
        <w:tc>
          <w:tcPr>
            <w:tcW w:w="880" w:type="dxa"/>
            <w:tcBorders>
              <w:top w:val="single" w:color="auto" w:sz="8" w:space="0"/>
              <w:left w:val="nil"/>
              <w:bottom w:val="nil"/>
              <w:right w:val="single" w:color="auto" w:sz="4" w:space="0"/>
            </w:tcBorders>
            <w:shd w:val="clear" w:color="000000" w:fill="A6A6A6"/>
            <w:vAlign w:val="center"/>
          </w:tcPr>
          <w:p>
            <w:pPr>
              <w:widowControl/>
              <w:jc w:val="center"/>
              <w:rPr>
                <w:rFonts w:hint="eastAsia" w:hAnsi="宋体" w:cs="宋体"/>
                <w:bCs/>
                <w:kern w:val="0"/>
                <w:sz w:val="24"/>
                <w:szCs w:val="24"/>
              </w:rPr>
            </w:pPr>
            <w:r>
              <w:rPr>
                <w:rFonts w:hint="eastAsia" w:hAnsi="宋体" w:cs="宋体"/>
                <w:bCs/>
                <w:kern w:val="0"/>
                <w:sz w:val="24"/>
                <w:szCs w:val="24"/>
              </w:rPr>
              <w:t>数量</w:t>
            </w:r>
          </w:p>
        </w:tc>
        <w:tc>
          <w:tcPr>
            <w:tcW w:w="880" w:type="dxa"/>
            <w:tcBorders>
              <w:top w:val="single" w:color="auto" w:sz="8" w:space="0"/>
              <w:left w:val="nil"/>
              <w:bottom w:val="nil"/>
              <w:right w:val="single" w:color="auto" w:sz="4" w:space="0"/>
            </w:tcBorders>
            <w:shd w:val="clear" w:color="000000" w:fill="A6A6A6"/>
            <w:vAlign w:val="center"/>
          </w:tcPr>
          <w:p>
            <w:pPr>
              <w:widowControl/>
              <w:jc w:val="center"/>
              <w:rPr>
                <w:rFonts w:hint="eastAsia" w:hAnsi="宋体" w:cs="宋体"/>
                <w:bCs/>
                <w:kern w:val="0"/>
                <w:sz w:val="24"/>
                <w:szCs w:val="24"/>
              </w:rPr>
            </w:pPr>
            <w:r>
              <w:rPr>
                <w:rFonts w:hint="eastAsia" w:hAnsi="宋体" w:cs="宋体"/>
                <w:bCs/>
                <w:kern w:val="0"/>
                <w:sz w:val="24"/>
                <w:szCs w:val="24"/>
              </w:rPr>
              <w:t>单位</w:t>
            </w:r>
          </w:p>
        </w:tc>
        <w:tc>
          <w:tcPr>
            <w:tcW w:w="2161" w:type="dxa"/>
            <w:tcBorders>
              <w:top w:val="single" w:color="auto" w:sz="8" w:space="0"/>
              <w:left w:val="nil"/>
              <w:bottom w:val="nil"/>
              <w:right w:val="single" w:color="auto" w:sz="8" w:space="0"/>
            </w:tcBorders>
            <w:shd w:val="clear" w:color="000000" w:fill="A6A6A6"/>
            <w:vAlign w:val="center"/>
          </w:tcPr>
          <w:p>
            <w:pPr>
              <w:widowControl/>
              <w:jc w:val="center"/>
              <w:rPr>
                <w:rFonts w:hint="eastAsia" w:hAnsi="宋体" w:cs="宋体"/>
                <w:bCs/>
                <w:kern w:val="0"/>
                <w:sz w:val="24"/>
                <w:szCs w:val="24"/>
              </w:rPr>
            </w:pPr>
            <w:r>
              <w:rPr>
                <w:rFonts w:hint="eastAsia" w:hAnsi="宋体" w:cs="宋体"/>
                <w:bCs/>
                <w:kern w:val="0"/>
                <w:sz w:val="24"/>
                <w:szCs w:val="24"/>
              </w:rPr>
              <w:t>备注</w:t>
            </w:r>
          </w:p>
        </w:tc>
      </w:tr>
      <w:tr>
        <w:tblPrEx>
          <w:tblLayout w:type="fixed"/>
          <w:tblCellMar>
            <w:top w:w="0" w:type="dxa"/>
            <w:left w:w="108" w:type="dxa"/>
            <w:bottom w:w="0" w:type="dxa"/>
            <w:right w:w="108" w:type="dxa"/>
          </w:tblCellMar>
        </w:tblPrEx>
        <w:trPr>
          <w:trHeight w:val="244" w:hRule="atLeast"/>
          <w:jc w:val="center"/>
        </w:trPr>
        <w:tc>
          <w:tcPr>
            <w:tcW w:w="699" w:type="dxa"/>
            <w:tcBorders>
              <w:top w:val="single" w:color="auto" w:sz="8" w:space="0"/>
              <w:left w:val="single" w:color="auto" w:sz="8" w:space="0"/>
              <w:bottom w:val="single" w:color="auto" w:sz="4" w:space="0"/>
              <w:right w:val="single" w:color="auto" w:sz="4" w:space="0"/>
            </w:tcBorders>
            <w:shd w:val="clear" w:color="000000" w:fill="F2F2F2"/>
            <w:vAlign w:val="center"/>
          </w:tcPr>
          <w:p>
            <w:pPr>
              <w:widowControl/>
              <w:jc w:val="center"/>
              <w:rPr>
                <w:rFonts w:hint="eastAsia" w:hAnsi="宋体" w:cs="宋体"/>
                <w:bCs/>
                <w:kern w:val="0"/>
                <w:sz w:val="24"/>
                <w:szCs w:val="24"/>
              </w:rPr>
            </w:pPr>
            <w:r>
              <w:rPr>
                <w:rFonts w:hint="eastAsia" w:hAnsi="宋体" w:cs="宋体"/>
                <w:bCs/>
                <w:kern w:val="0"/>
                <w:sz w:val="24"/>
                <w:szCs w:val="24"/>
              </w:rPr>
              <w:t>一</w:t>
            </w:r>
          </w:p>
        </w:tc>
        <w:tc>
          <w:tcPr>
            <w:tcW w:w="4111" w:type="dxa"/>
            <w:tcBorders>
              <w:top w:val="single" w:color="auto" w:sz="8" w:space="0"/>
              <w:left w:val="nil"/>
              <w:bottom w:val="single" w:color="auto" w:sz="4" w:space="0"/>
              <w:right w:val="single" w:color="auto" w:sz="4" w:space="0"/>
            </w:tcBorders>
            <w:shd w:val="clear" w:color="000000" w:fill="F2F2F2"/>
            <w:vAlign w:val="center"/>
          </w:tcPr>
          <w:p>
            <w:pPr>
              <w:widowControl/>
              <w:jc w:val="left"/>
              <w:rPr>
                <w:rFonts w:hint="eastAsia" w:hAnsi="宋体" w:cs="宋体"/>
                <w:bCs/>
                <w:kern w:val="0"/>
                <w:sz w:val="24"/>
                <w:szCs w:val="24"/>
              </w:rPr>
            </w:pPr>
            <w:r>
              <w:rPr>
                <w:rFonts w:hint="eastAsia" w:hAnsi="宋体" w:cs="宋体"/>
                <w:bCs/>
                <w:kern w:val="0"/>
                <w:sz w:val="24"/>
                <w:szCs w:val="24"/>
              </w:rPr>
              <w:t>前端系统设备材料</w:t>
            </w:r>
          </w:p>
        </w:tc>
        <w:tc>
          <w:tcPr>
            <w:tcW w:w="880" w:type="dxa"/>
            <w:tcBorders>
              <w:top w:val="single" w:color="auto" w:sz="8" w:space="0"/>
              <w:left w:val="single" w:color="auto" w:sz="4" w:space="0"/>
              <w:bottom w:val="single" w:color="auto" w:sz="4" w:space="0"/>
              <w:right w:val="single" w:color="auto" w:sz="4" w:space="0"/>
            </w:tcBorders>
            <w:shd w:val="clear" w:color="000000" w:fill="F2F2F2"/>
            <w:vAlign w:val="center"/>
          </w:tcPr>
          <w:p>
            <w:pPr>
              <w:widowControl/>
              <w:jc w:val="left"/>
              <w:rPr>
                <w:rFonts w:hint="eastAsia" w:hAnsi="宋体" w:cs="宋体"/>
                <w:bCs/>
                <w:kern w:val="0"/>
                <w:sz w:val="24"/>
                <w:szCs w:val="24"/>
              </w:rPr>
            </w:pPr>
          </w:p>
        </w:tc>
        <w:tc>
          <w:tcPr>
            <w:tcW w:w="880" w:type="dxa"/>
            <w:tcBorders>
              <w:top w:val="single" w:color="auto" w:sz="8" w:space="0"/>
              <w:left w:val="single" w:color="auto" w:sz="4" w:space="0"/>
              <w:bottom w:val="single" w:color="auto" w:sz="4" w:space="0"/>
              <w:right w:val="nil"/>
            </w:tcBorders>
            <w:shd w:val="clear" w:color="000000" w:fill="F2F2F2"/>
            <w:vAlign w:val="center"/>
          </w:tcPr>
          <w:p>
            <w:pPr>
              <w:widowControl/>
              <w:jc w:val="left"/>
              <w:rPr>
                <w:rFonts w:hint="eastAsia" w:hAnsi="宋体" w:cs="宋体"/>
                <w:bCs/>
                <w:kern w:val="0"/>
                <w:sz w:val="24"/>
                <w:szCs w:val="24"/>
              </w:rPr>
            </w:pPr>
          </w:p>
        </w:tc>
        <w:tc>
          <w:tcPr>
            <w:tcW w:w="2161" w:type="dxa"/>
            <w:tcBorders>
              <w:top w:val="single" w:color="auto" w:sz="8" w:space="0"/>
              <w:left w:val="single" w:color="auto" w:sz="4" w:space="0"/>
              <w:bottom w:val="single" w:color="auto" w:sz="4" w:space="0"/>
              <w:right w:val="single" w:color="auto" w:sz="8" w:space="0"/>
            </w:tcBorders>
            <w:shd w:val="clear" w:color="000000" w:fill="F2F2F2"/>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低照度高清网络摄像机</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19</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台</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2</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低照度WIFI特征采集+高清摄像机</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28</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台</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3</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红外网络高清智能球机</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15</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台</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4</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高点全景摄像机</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3</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台</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5</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300万嵌入式卡口抓拍单元</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2</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台</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6</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红外白光爆闪一体灯</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2</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个</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7</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频闪灯</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2</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个</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8</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摄像机补光灯</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44</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台</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9</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监控立杆</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49</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根</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10</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监控铁塔</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2</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套</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11</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卡口立杆</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套</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12</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抱杆/壁装横臂</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65</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根</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13</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防水设备箱</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55</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个</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14</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电源/网络二合一防雷器</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bCs/>
                <w:kern w:val="0"/>
                <w:sz w:val="24"/>
                <w:szCs w:val="24"/>
              </w:rPr>
            </w:pPr>
            <w:r>
              <w:rPr>
                <w:rFonts w:hint="eastAsia" w:hAnsi="宋体" w:cs="宋体"/>
                <w:bCs/>
                <w:kern w:val="0"/>
                <w:sz w:val="24"/>
                <w:szCs w:val="24"/>
              </w:rPr>
              <w:t>67</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台</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15</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前端接地系统</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bCs/>
                <w:kern w:val="0"/>
                <w:sz w:val="24"/>
                <w:szCs w:val="24"/>
              </w:rPr>
            </w:pPr>
            <w:r>
              <w:rPr>
                <w:rFonts w:hint="eastAsia" w:hAnsi="宋体" w:cs="宋体"/>
                <w:bCs/>
                <w:kern w:val="0"/>
                <w:sz w:val="24"/>
                <w:szCs w:val="24"/>
              </w:rPr>
              <w:t>55</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套</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16</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电源电缆</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11000</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米</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17</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网络非屏蔽双绞线</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10</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箱</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18</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接地电缆</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1000</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米</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19</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前端电源接入</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5</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项</w:t>
            </w:r>
          </w:p>
        </w:tc>
        <w:tc>
          <w:tcPr>
            <w:tcW w:w="2161" w:type="dxa"/>
            <w:tcBorders>
              <w:top w:val="nil"/>
              <w:left w:val="nil"/>
              <w:bottom w:val="nil"/>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hAnsi="宋体" w:cs="宋体"/>
                <w:kern w:val="0"/>
                <w:sz w:val="24"/>
                <w:szCs w:val="24"/>
              </w:rPr>
            </w:pPr>
            <w:r>
              <w:rPr>
                <w:rFonts w:hint="eastAsia" w:hAnsi="宋体" w:cs="宋体"/>
                <w:kern w:val="0"/>
                <w:sz w:val="24"/>
                <w:szCs w:val="24"/>
              </w:rPr>
              <w:t>20</w:t>
            </w:r>
          </w:p>
        </w:tc>
        <w:tc>
          <w:tcPr>
            <w:tcW w:w="4111" w:type="dxa"/>
            <w:tcBorders>
              <w:top w:val="nil"/>
              <w:left w:val="nil"/>
              <w:bottom w:val="single" w:color="auto" w:sz="4" w:space="0"/>
              <w:right w:val="single" w:color="auto" w:sz="4" w:space="0"/>
            </w:tcBorders>
            <w:shd w:val="clear" w:color="000000" w:fill="FFFFFF"/>
            <w:vAlign w:val="center"/>
          </w:tcPr>
          <w:p>
            <w:pPr>
              <w:widowControl/>
              <w:jc w:val="left"/>
              <w:rPr>
                <w:rFonts w:hint="eastAsia" w:hAnsi="宋体" w:cs="宋体"/>
                <w:kern w:val="0"/>
                <w:sz w:val="24"/>
                <w:szCs w:val="24"/>
              </w:rPr>
            </w:pPr>
            <w:r>
              <w:rPr>
                <w:rFonts w:hint="eastAsia" w:hAnsi="宋体" w:cs="宋体"/>
                <w:kern w:val="0"/>
                <w:sz w:val="24"/>
                <w:szCs w:val="24"/>
              </w:rPr>
              <w:t>电源立杆</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hint="eastAsia" w:hAnsi="宋体" w:cs="宋体"/>
                <w:kern w:val="0"/>
                <w:sz w:val="24"/>
                <w:szCs w:val="24"/>
              </w:rPr>
            </w:pPr>
            <w:r>
              <w:rPr>
                <w:rFonts w:hint="eastAsia" w:hAnsi="宋体" w:cs="宋体"/>
                <w:kern w:val="0"/>
                <w:sz w:val="24"/>
                <w:szCs w:val="24"/>
              </w:rPr>
              <w:t>25</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hint="eastAsia" w:hAnsi="宋体" w:cs="宋体"/>
                <w:kern w:val="0"/>
                <w:sz w:val="24"/>
                <w:szCs w:val="24"/>
              </w:rPr>
            </w:pPr>
            <w:r>
              <w:rPr>
                <w:rFonts w:hint="eastAsia" w:hAnsi="宋体" w:cs="宋体"/>
                <w:kern w:val="0"/>
                <w:sz w:val="24"/>
                <w:szCs w:val="24"/>
              </w:rPr>
              <w:t>根</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21</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辅材辅料</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bCs/>
                <w:kern w:val="0"/>
                <w:sz w:val="24"/>
                <w:szCs w:val="24"/>
              </w:rPr>
            </w:pPr>
            <w:r>
              <w:rPr>
                <w:rFonts w:hint="eastAsia" w:hAnsi="宋体" w:cs="宋体"/>
                <w:bCs/>
                <w:kern w:val="0"/>
                <w:sz w:val="24"/>
                <w:szCs w:val="24"/>
              </w:rPr>
              <w:t>67</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批</w:t>
            </w:r>
          </w:p>
        </w:tc>
        <w:tc>
          <w:tcPr>
            <w:tcW w:w="2161" w:type="dxa"/>
            <w:tcBorders>
              <w:top w:val="nil"/>
              <w:left w:val="nil"/>
              <w:bottom w:val="nil"/>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22</w:t>
            </w:r>
          </w:p>
        </w:tc>
        <w:tc>
          <w:tcPr>
            <w:tcW w:w="4111" w:type="dxa"/>
            <w:tcBorders>
              <w:top w:val="nil"/>
              <w:left w:val="nil"/>
              <w:bottom w:val="nil"/>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工程实施</w:t>
            </w:r>
          </w:p>
        </w:tc>
        <w:tc>
          <w:tcPr>
            <w:tcW w:w="880" w:type="dxa"/>
            <w:tcBorders>
              <w:top w:val="nil"/>
              <w:left w:val="nil"/>
              <w:bottom w:val="nil"/>
              <w:right w:val="single" w:color="auto" w:sz="4" w:space="0"/>
            </w:tcBorders>
            <w:vAlign w:val="center"/>
          </w:tcPr>
          <w:p>
            <w:pPr>
              <w:widowControl/>
              <w:jc w:val="center"/>
              <w:rPr>
                <w:rFonts w:hint="eastAsia" w:hAnsi="宋体" w:cs="宋体"/>
                <w:bCs/>
                <w:kern w:val="0"/>
                <w:sz w:val="24"/>
                <w:szCs w:val="24"/>
              </w:rPr>
            </w:pPr>
            <w:r>
              <w:rPr>
                <w:rFonts w:hint="eastAsia" w:hAnsi="宋体" w:cs="宋体"/>
                <w:bCs/>
                <w:kern w:val="0"/>
                <w:sz w:val="24"/>
                <w:szCs w:val="24"/>
              </w:rPr>
              <w:t>67</w:t>
            </w:r>
          </w:p>
        </w:tc>
        <w:tc>
          <w:tcPr>
            <w:tcW w:w="880" w:type="dxa"/>
            <w:tcBorders>
              <w:top w:val="nil"/>
              <w:left w:val="nil"/>
              <w:bottom w:val="nil"/>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项</w:t>
            </w:r>
          </w:p>
        </w:tc>
        <w:tc>
          <w:tcPr>
            <w:tcW w:w="2161" w:type="dxa"/>
            <w:tcBorders>
              <w:top w:val="single" w:color="auto" w:sz="4" w:space="0"/>
              <w:left w:val="nil"/>
              <w:bottom w:val="nil"/>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single" w:color="auto" w:sz="8" w:space="0"/>
              <w:left w:val="single" w:color="auto" w:sz="8" w:space="0"/>
              <w:bottom w:val="single" w:color="auto" w:sz="4" w:space="0"/>
              <w:right w:val="single" w:color="auto" w:sz="4" w:space="0"/>
            </w:tcBorders>
            <w:shd w:val="clear" w:color="000000" w:fill="F2F2F2"/>
            <w:vAlign w:val="center"/>
          </w:tcPr>
          <w:p>
            <w:pPr>
              <w:widowControl/>
              <w:jc w:val="center"/>
              <w:rPr>
                <w:rFonts w:hint="eastAsia" w:hAnsi="宋体" w:cs="宋体"/>
                <w:bCs/>
                <w:kern w:val="0"/>
                <w:sz w:val="24"/>
                <w:szCs w:val="24"/>
              </w:rPr>
            </w:pPr>
            <w:r>
              <w:rPr>
                <w:rFonts w:hint="eastAsia" w:hAnsi="宋体" w:cs="宋体"/>
                <w:bCs/>
                <w:kern w:val="0"/>
                <w:sz w:val="24"/>
                <w:szCs w:val="24"/>
              </w:rPr>
              <w:t>二</w:t>
            </w:r>
          </w:p>
        </w:tc>
        <w:tc>
          <w:tcPr>
            <w:tcW w:w="4111" w:type="dxa"/>
            <w:tcBorders>
              <w:top w:val="single" w:color="auto" w:sz="8" w:space="0"/>
              <w:left w:val="nil"/>
              <w:bottom w:val="single" w:color="auto" w:sz="4" w:space="0"/>
              <w:right w:val="single" w:color="auto" w:sz="4" w:space="0"/>
            </w:tcBorders>
            <w:shd w:val="clear" w:color="000000" w:fill="F2F2F2"/>
            <w:vAlign w:val="center"/>
          </w:tcPr>
          <w:p>
            <w:pPr>
              <w:widowControl/>
              <w:jc w:val="left"/>
              <w:rPr>
                <w:rFonts w:hint="eastAsia" w:hAnsi="宋体" w:cs="宋体"/>
                <w:bCs/>
                <w:kern w:val="0"/>
                <w:sz w:val="24"/>
                <w:szCs w:val="24"/>
              </w:rPr>
            </w:pPr>
            <w:r>
              <w:rPr>
                <w:rFonts w:hint="eastAsia" w:hAnsi="宋体" w:cs="宋体"/>
                <w:bCs/>
                <w:kern w:val="0"/>
                <w:sz w:val="24"/>
                <w:szCs w:val="24"/>
              </w:rPr>
              <w:t>公安后端系统</w:t>
            </w:r>
          </w:p>
        </w:tc>
        <w:tc>
          <w:tcPr>
            <w:tcW w:w="880" w:type="dxa"/>
            <w:tcBorders>
              <w:top w:val="single" w:color="auto" w:sz="8" w:space="0"/>
              <w:left w:val="single" w:color="auto" w:sz="4" w:space="0"/>
              <w:bottom w:val="single" w:color="auto" w:sz="4" w:space="0"/>
              <w:right w:val="single" w:color="auto" w:sz="4" w:space="0"/>
            </w:tcBorders>
            <w:shd w:val="clear" w:color="000000" w:fill="F2F2F2"/>
            <w:vAlign w:val="center"/>
          </w:tcPr>
          <w:p>
            <w:pPr>
              <w:widowControl/>
              <w:jc w:val="left"/>
              <w:rPr>
                <w:rFonts w:hint="eastAsia" w:hAnsi="宋体" w:cs="宋体"/>
                <w:bCs/>
                <w:kern w:val="0"/>
                <w:sz w:val="24"/>
                <w:szCs w:val="24"/>
              </w:rPr>
            </w:pPr>
          </w:p>
        </w:tc>
        <w:tc>
          <w:tcPr>
            <w:tcW w:w="880" w:type="dxa"/>
            <w:tcBorders>
              <w:top w:val="single" w:color="auto" w:sz="8" w:space="0"/>
              <w:left w:val="single" w:color="auto" w:sz="4" w:space="0"/>
              <w:bottom w:val="single" w:color="auto" w:sz="4" w:space="0"/>
              <w:right w:val="nil"/>
            </w:tcBorders>
            <w:shd w:val="clear" w:color="000000" w:fill="F2F2F2"/>
            <w:vAlign w:val="center"/>
          </w:tcPr>
          <w:p>
            <w:pPr>
              <w:widowControl/>
              <w:jc w:val="left"/>
              <w:rPr>
                <w:rFonts w:hint="eastAsia" w:hAnsi="宋体" w:cs="宋体"/>
                <w:bCs/>
                <w:kern w:val="0"/>
                <w:sz w:val="24"/>
                <w:szCs w:val="24"/>
              </w:rPr>
            </w:pPr>
          </w:p>
        </w:tc>
        <w:tc>
          <w:tcPr>
            <w:tcW w:w="2161" w:type="dxa"/>
            <w:tcBorders>
              <w:top w:val="single" w:color="auto" w:sz="8" w:space="0"/>
              <w:left w:val="single" w:color="auto" w:sz="4" w:space="0"/>
              <w:bottom w:val="single" w:color="auto" w:sz="4" w:space="0"/>
              <w:right w:val="single" w:color="auto" w:sz="8" w:space="0"/>
            </w:tcBorders>
            <w:shd w:val="clear" w:color="000000" w:fill="F2F2F2"/>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云存储主机</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2</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台</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2</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企业级专用硬盘</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9</w:t>
            </w:r>
            <w:r>
              <w:rPr>
                <w:rFonts w:hAnsi="宋体" w:cs="宋体"/>
                <w:kern w:val="0"/>
                <w:sz w:val="24"/>
                <w:szCs w:val="24"/>
              </w:rPr>
              <w:t>6</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块</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3</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平台接入授权扩容</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套</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4</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云存储平台授权</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套</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85"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5</w:t>
            </w:r>
          </w:p>
        </w:tc>
        <w:tc>
          <w:tcPr>
            <w:tcW w:w="4111" w:type="dxa"/>
            <w:tcBorders>
              <w:top w:val="nil"/>
              <w:left w:val="nil"/>
              <w:bottom w:val="single" w:color="auto" w:sz="8"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中心线缆及辅材</w:t>
            </w:r>
          </w:p>
        </w:tc>
        <w:tc>
          <w:tcPr>
            <w:tcW w:w="880" w:type="dxa"/>
            <w:tcBorders>
              <w:top w:val="nil"/>
              <w:left w:val="nil"/>
              <w:bottom w:val="single" w:color="auto" w:sz="8"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1</w:t>
            </w:r>
          </w:p>
        </w:tc>
        <w:tc>
          <w:tcPr>
            <w:tcW w:w="880" w:type="dxa"/>
            <w:tcBorders>
              <w:top w:val="nil"/>
              <w:left w:val="nil"/>
              <w:bottom w:val="single" w:color="auto" w:sz="8"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批</w:t>
            </w:r>
          </w:p>
        </w:tc>
        <w:tc>
          <w:tcPr>
            <w:tcW w:w="2161" w:type="dxa"/>
            <w:tcBorders>
              <w:top w:val="nil"/>
              <w:left w:val="nil"/>
              <w:bottom w:val="single" w:color="auto" w:sz="8"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single" w:color="auto" w:sz="8" w:space="0"/>
              <w:left w:val="single" w:color="auto" w:sz="8" w:space="0"/>
              <w:bottom w:val="single" w:color="auto" w:sz="4" w:space="0"/>
              <w:right w:val="single" w:color="auto" w:sz="4" w:space="0"/>
            </w:tcBorders>
            <w:shd w:val="clear" w:color="000000" w:fill="F2F2F2"/>
            <w:vAlign w:val="center"/>
          </w:tcPr>
          <w:p>
            <w:pPr>
              <w:widowControl/>
              <w:jc w:val="center"/>
              <w:rPr>
                <w:rFonts w:hint="eastAsia" w:hAnsi="宋体" w:cs="宋体"/>
                <w:bCs/>
                <w:kern w:val="0"/>
                <w:sz w:val="24"/>
                <w:szCs w:val="24"/>
              </w:rPr>
            </w:pPr>
            <w:r>
              <w:rPr>
                <w:rFonts w:hint="eastAsia" w:hAnsi="宋体" w:cs="宋体"/>
                <w:bCs/>
                <w:kern w:val="0"/>
                <w:sz w:val="24"/>
                <w:szCs w:val="24"/>
              </w:rPr>
              <w:t>三</w:t>
            </w:r>
          </w:p>
        </w:tc>
        <w:tc>
          <w:tcPr>
            <w:tcW w:w="4111" w:type="dxa"/>
            <w:tcBorders>
              <w:top w:val="nil"/>
              <w:left w:val="nil"/>
              <w:bottom w:val="single" w:color="auto" w:sz="4" w:space="0"/>
              <w:right w:val="single" w:color="auto" w:sz="4" w:space="0"/>
            </w:tcBorders>
            <w:shd w:val="clear" w:color="000000" w:fill="F2F2F2"/>
            <w:vAlign w:val="center"/>
          </w:tcPr>
          <w:p>
            <w:pPr>
              <w:widowControl/>
              <w:jc w:val="left"/>
              <w:rPr>
                <w:rFonts w:hint="eastAsia" w:hAnsi="宋体" w:cs="宋体"/>
                <w:bCs/>
                <w:kern w:val="0"/>
                <w:sz w:val="24"/>
                <w:szCs w:val="24"/>
              </w:rPr>
            </w:pPr>
            <w:r>
              <w:rPr>
                <w:rFonts w:hint="eastAsia" w:hAnsi="宋体" w:cs="宋体"/>
                <w:bCs/>
                <w:kern w:val="0"/>
                <w:sz w:val="24"/>
                <w:szCs w:val="24"/>
              </w:rPr>
              <w:t>三个分控指挥中心设备</w:t>
            </w:r>
          </w:p>
        </w:tc>
        <w:tc>
          <w:tcPr>
            <w:tcW w:w="880" w:type="dxa"/>
            <w:tcBorders>
              <w:top w:val="nil"/>
              <w:left w:val="single" w:color="auto" w:sz="4" w:space="0"/>
              <w:bottom w:val="single" w:color="auto" w:sz="4" w:space="0"/>
              <w:right w:val="single" w:color="auto" w:sz="4" w:space="0"/>
            </w:tcBorders>
            <w:shd w:val="clear" w:color="000000" w:fill="F2F2F2"/>
            <w:vAlign w:val="center"/>
          </w:tcPr>
          <w:p>
            <w:pPr>
              <w:widowControl/>
              <w:jc w:val="left"/>
              <w:rPr>
                <w:rFonts w:hint="eastAsia" w:hAnsi="宋体" w:cs="宋体"/>
                <w:bCs/>
                <w:kern w:val="0"/>
                <w:sz w:val="24"/>
                <w:szCs w:val="24"/>
              </w:rPr>
            </w:pPr>
          </w:p>
        </w:tc>
        <w:tc>
          <w:tcPr>
            <w:tcW w:w="880" w:type="dxa"/>
            <w:tcBorders>
              <w:top w:val="nil"/>
              <w:left w:val="single" w:color="auto" w:sz="4" w:space="0"/>
              <w:bottom w:val="single" w:color="auto" w:sz="4" w:space="0"/>
              <w:right w:val="nil"/>
            </w:tcBorders>
            <w:shd w:val="clear" w:color="000000" w:fill="F2F2F2"/>
            <w:vAlign w:val="center"/>
          </w:tcPr>
          <w:p>
            <w:pPr>
              <w:widowControl/>
              <w:jc w:val="left"/>
              <w:rPr>
                <w:rFonts w:hint="eastAsia" w:hAnsi="宋体" w:cs="宋体"/>
                <w:bCs/>
                <w:kern w:val="0"/>
                <w:sz w:val="24"/>
                <w:szCs w:val="24"/>
              </w:rPr>
            </w:pPr>
          </w:p>
        </w:tc>
        <w:tc>
          <w:tcPr>
            <w:tcW w:w="2161" w:type="dxa"/>
            <w:tcBorders>
              <w:top w:val="nil"/>
              <w:left w:val="single" w:color="auto" w:sz="4" w:space="0"/>
              <w:bottom w:val="single" w:color="auto" w:sz="4" w:space="0"/>
              <w:right w:val="single" w:color="auto" w:sz="8" w:space="0"/>
            </w:tcBorders>
            <w:shd w:val="clear" w:color="000000" w:fill="F2F2F2"/>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hAnsi="宋体" w:cs="宋体"/>
                <w:kern w:val="0"/>
                <w:sz w:val="24"/>
                <w:szCs w:val="24"/>
              </w:rPr>
            </w:pPr>
            <w:r>
              <w:rPr>
                <w:rFonts w:hint="eastAsia" w:hAnsi="宋体" w:cs="宋体"/>
                <w:kern w:val="0"/>
                <w:sz w:val="24"/>
                <w:szCs w:val="24"/>
              </w:rPr>
              <w:t>1</w:t>
            </w:r>
          </w:p>
        </w:tc>
        <w:tc>
          <w:tcPr>
            <w:tcW w:w="4111" w:type="dxa"/>
            <w:tcBorders>
              <w:top w:val="nil"/>
              <w:left w:val="nil"/>
              <w:bottom w:val="single" w:color="auto" w:sz="4" w:space="0"/>
              <w:right w:val="single" w:color="auto" w:sz="4" w:space="0"/>
            </w:tcBorders>
            <w:shd w:val="clear" w:color="000000" w:fill="FFFFFF"/>
            <w:vAlign w:val="center"/>
          </w:tcPr>
          <w:p>
            <w:pPr>
              <w:widowControl/>
              <w:jc w:val="left"/>
              <w:rPr>
                <w:rFonts w:hint="eastAsia" w:hAnsi="宋体" w:cs="宋体"/>
                <w:kern w:val="0"/>
                <w:sz w:val="24"/>
                <w:szCs w:val="24"/>
              </w:rPr>
            </w:pPr>
            <w:r>
              <w:rPr>
                <w:rFonts w:hint="eastAsia" w:hAnsi="宋体" w:cs="宋体"/>
                <w:kern w:val="0"/>
                <w:sz w:val="24"/>
                <w:szCs w:val="24"/>
              </w:rPr>
              <w:t>高清视音频解码器</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hint="eastAsia" w:hAnsi="宋体" w:cs="宋体"/>
                <w:kern w:val="0"/>
                <w:sz w:val="24"/>
                <w:szCs w:val="24"/>
              </w:rPr>
            </w:pPr>
            <w:r>
              <w:rPr>
                <w:rFonts w:hint="eastAsia" w:hAnsi="宋体" w:cs="宋体"/>
                <w:kern w:val="0"/>
                <w:sz w:val="24"/>
                <w:szCs w:val="24"/>
              </w:rPr>
              <w:t>3</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hint="eastAsia" w:hAnsi="宋体" w:cs="宋体"/>
                <w:kern w:val="0"/>
                <w:sz w:val="24"/>
                <w:szCs w:val="24"/>
              </w:rPr>
            </w:pPr>
            <w:r>
              <w:rPr>
                <w:rFonts w:hint="eastAsia" w:hAnsi="宋体" w:cs="宋体"/>
                <w:kern w:val="0"/>
                <w:sz w:val="24"/>
                <w:szCs w:val="24"/>
              </w:rPr>
              <w:t>台</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hAnsi="宋体" w:cs="宋体"/>
                <w:kern w:val="0"/>
                <w:sz w:val="24"/>
                <w:szCs w:val="24"/>
              </w:rPr>
            </w:pPr>
            <w:r>
              <w:rPr>
                <w:rFonts w:hint="eastAsia" w:hAnsi="宋体" w:cs="宋体"/>
                <w:kern w:val="0"/>
                <w:sz w:val="24"/>
                <w:szCs w:val="24"/>
              </w:rPr>
              <w:t>2</w:t>
            </w:r>
          </w:p>
        </w:tc>
        <w:tc>
          <w:tcPr>
            <w:tcW w:w="4111" w:type="dxa"/>
            <w:tcBorders>
              <w:top w:val="nil"/>
              <w:left w:val="nil"/>
              <w:bottom w:val="single" w:color="auto" w:sz="4" w:space="0"/>
              <w:right w:val="single" w:color="auto" w:sz="4" w:space="0"/>
            </w:tcBorders>
            <w:shd w:val="clear" w:color="000000" w:fill="FFFFFF"/>
            <w:vAlign w:val="center"/>
          </w:tcPr>
          <w:p>
            <w:pPr>
              <w:widowControl/>
              <w:jc w:val="left"/>
              <w:rPr>
                <w:rFonts w:hint="eastAsia" w:hAnsi="宋体" w:cs="宋体"/>
                <w:kern w:val="0"/>
                <w:sz w:val="24"/>
                <w:szCs w:val="24"/>
              </w:rPr>
            </w:pPr>
            <w:r>
              <w:rPr>
                <w:rFonts w:hint="eastAsia" w:hAnsi="宋体" w:cs="宋体"/>
                <w:kern w:val="0"/>
                <w:sz w:val="24"/>
                <w:szCs w:val="24"/>
              </w:rPr>
              <w:t>55寸液晶监视器</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hint="eastAsia" w:hAnsi="宋体" w:cs="宋体"/>
                <w:kern w:val="0"/>
                <w:sz w:val="24"/>
                <w:szCs w:val="24"/>
              </w:rPr>
            </w:pPr>
            <w:r>
              <w:rPr>
                <w:rFonts w:hint="eastAsia" w:hAnsi="宋体" w:cs="宋体"/>
                <w:kern w:val="0"/>
                <w:sz w:val="24"/>
                <w:szCs w:val="24"/>
              </w:rPr>
              <w:t>3</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hint="eastAsia" w:hAnsi="宋体" w:cs="宋体"/>
                <w:kern w:val="0"/>
                <w:sz w:val="24"/>
                <w:szCs w:val="24"/>
              </w:rPr>
            </w:pPr>
            <w:r>
              <w:rPr>
                <w:rFonts w:hint="eastAsia" w:hAnsi="宋体" w:cs="宋体"/>
                <w:kern w:val="0"/>
                <w:sz w:val="24"/>
                <w:szCs w:val="24"/>
              </w:rPr>
              <w:t>台</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hAnsi="宋体" w:cs="宋体"/>
                <w:kern w:val="0"/>
                <w:sz w:val="24"/>
                <w:szCs w:val="24"/>
              </w:rPr>
            </w:pPr>
            <w:r>
              <w:rPr>
                <w:rFonts w:hint="eastAsia" w:hAnsi="宋体" w:cs="宋体"/>
                <w:kern w:val="0"/>
                <w:sz w:val="24"/>
                <w:szCs w:val="24"/>
              </w:rPr>
              <w:t>3</w:t>
            </w:r>
          </w:p>
        </w:tc>
        <w:tc>
          <w:tcPr>
            <w:tcW w:w="4111" w:type="dxa"/>
            <w:tcBorders>
              <w:top w:val="nil"/>
              <w:left w:val="nil"/>
              <w:bottom w:val="single" w:color="auto" w:sz="4" w:space="0"/>
              <w:right w:val="single" w:color="auto" w:sz="4" w:space="0"/>
            </w:tcBorders>
            <w:shd w:val="clear" w:color="auto" w:fill="auto"/>
            <w:vAlign w:val="center"/>
          </w:tcPr>
          <w:p>
            <w:pPr>
              <w:widowControl/>
              <w:jc w:val="left"/>
              <w:rPr>
                <w:rFonts w:hint="eastAsia" w:hAnsi="宋体" w:cs="宋体"/>
                <w:kern w:val="0"/>
                <w:sz w:val="24"/>
                <w:szCs w:val="24"/>
              </w:rPr>
            </w:pPr>
            <w:r>
              <w:rPr>
                <w:rFonts w:hint="eastAsia" w:hAnsi="宋体" w:cs="宋体"/>
                <w:kern w:val="0"/>
                <w:sz w:val="24"/>
                <w:szCs w:val="24"/>
              </w:rPr>
              <w:t>操作终端</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hint="eastAsia" w:hAnsi="宋体" w:cs="宋体"/>
                <w:kern w:val="0"/>
                <w:sz w:val="24"/>
                <w:szCs w:val="24"/>
              </w:rPr>
            </w:pPr>
            <w:r>
              <w:rPr>
                <w:rFonts w:hint="eastAsia" w:hAnsi="宋体" w:cs="宋体"/>
                <w:kern w:val="0"/>
                <w:sz w:val="24"/>
                <w:szCs w:val="24"/>
              </w:rPr>
              <w:t>3</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hint="eastAsia" w:hAnsi="宋体" w:cs="宋体"/>
                <w:kern w:val="0"/>
                <w:sz w:val="24"/>
                <w:szCs w:val="24"/>
              </w:rPr>
            </w:pPr>
            <w:r>
              <w:rPr>
                <w:rFonts w:hint="eastAsia" w:hAnsi="宋体" w:cs="宋体"/>
                <w:kern w:val="0"/>
                <w:sz w:val="24"/>
                <w:szCs w:val="24"/>
              </w:rPr>
              <w:t>套</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hAnsi="宋体" w:cs="宋体"/>
                <w:kern w:val="0"/>
                <w:sz w:val="24"/>
                <w:szCs w:val="24"/>
              </w:rPr>
            </w:pPr>
            <w:r>
              <w:rPr>
                <w:rFonts w:hint="eastAsia" w:hAnsi="宋体" w:cs="宋体"/>
                <w:kern w:val="0"/>
                <w:sz w:val="24"/>
                <w:szCs w:val="24"/>
              </w:rPr>
              <w:t>4</w:t>
            </w:r>
          </w:p>
        </w:tc>
        <w:tc>
          <w:tcPr>
            <w:tcW w:w="4111" w:type="dxa"/>
            <w:tcBorders>
              <w:top w:val="nil"/>
              <w:left w:val="nil"/>
              <w:bottom w:val="single" w:color="auto" w:sz="4" w:space="0"/>
              <w:right w:val="single" w:color="auto" w:sz="4" w:space="0"/>
            </w:tcBorders>
            <w:shd w:val="clear" w:color="000000" w:fill="FFFFFF"/>
            <w:vAlign w:val="center"/>
          </w:tcPr>
          <w:p>
            <w:pPr>
              <w:widowControl/>
              <w:jc w:val="left"/>
              <w:rPr>
                <w:rFonts w:hint="eastAsia" w:hAnsi="宋体" w:cs="宋体"/>
                <w:kern w:val="0"/>
                <w:sz w:val="24"/>
                <w:szCs w:val="24"/>
              </w:rPr>
            </w:pPr>
            <w:r>
              <w:rPr>
                <w:rFonts w:hint="eastAsia" w:hAnsi="宋体" w:cs="宋体"/>
                <w:kern w:val="0"/>
                <w:sz w:val="24"/>
                <w:szCs w:val="24"/>
              </w:rPr>
              <w:t>操作台</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hint="eastAsia" w:hAnsi="宋体" w:cs="宋体"/>
                <w:kern w:val="0"/>
                <w:sz w:val="24"/>
                <w:szCs w:val="24"/>
              </w:rPr>
            </w:pPr>
            <w:r>
              <w:rPr>
                <w:rFonts w:hint="eastAsia" w:hAnsi="宋体" w:cs="宋体"/>
                <w:kern w:val="0"/>
                <w:sz w:val="24"/>
                <w:szCs w:val="24"/>
              </w:rPr>
              <w:t>3</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hint="eastAsia" w:hAnsi="宋体" w:cs="宋体"/>
                <w:kern w:val="0"/>
                <w:sz w:val="24"/>
                <w:szCs w:val="24"/>
              </w:rPr>
            </w:pPr>
            <w:r>
              <w:rPr>
                <w:rFonts w:hint="eastAsia" w:hAnsi="宋体" w:cs="宋体"/>
                <w:kern w:val="0"/>
                <w:sz w:val="24"/>
                <w:szCs w:val="24"/>
              </w:rPr>
              <w:t>套</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eastAsia" w:hAnsi="宋体" w:cs="宋体"/>
                <w:kern w:val="0"/>
                <w:sz w:val="24"/>
                <w:szCs w:val="24"/>
              </w:rPr>
            </w:pPr>
            <w:r>
              <w:rPr>
                <w:rFonts w:hint="eastAsia" w:hAnsi="宋体" w:cs="宋体"/>
                <w:kern w:val="0"/>
                <w:sz w:val="24"/>
                <w:szCs w:val="24"/>
              </w:rPr>
              <w:t>5</w:t>
            </w:r>
          </w:p>
        </w:tc>
        <w:tc>
          <w:tcPr>
            <w:tcW w:w="4111" w:type="dxa"/>
            <w:tcBorders>
              <w:top w:val="nil"/>
              <w:left w:val="nil"/>
              <w:bottom w:val="single" w:color="auto" w:sz="4" w:space="0"/>
              <w:right w:val="single" w:color="auto" w:sz="4" w:space="0"/>
            </w:tcBorders>
            <w:shd w:val="clear" w:color="000000" w:fill="FFFFFF"/>
            <w:vAlign w:val="center"/>
          </w:tcPr>
          <w:p>
            <w:pPr>
              <w:widowControl/>
              <w:jc w:val="left"/>
              <w:rPr>
                <w:rFonts w:hint="eastAsia" w:hAnsi="宋体" w:cs="宋体"/>
                <w:kern w:val="0"/>
                <w:sz w:val="24"/>
                <w:szCs w:val="24"/>
              </w:rPr>
            </w:pPr>
            <w:r>
              <w:rPr>
                <w:rFonts w:hint="eastAsia" w:hAnsi="宋体" w:cs="宋体"/>
                <w:kern w:val="0"/>
                <w:sz w:val="24"/>
                <w:szCs w:val="24"/>
              </w:rPr>
              <w:t>网络交换机</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hint="eastAsia" w:hAnsi="宋体" w:cs="宋体"/>
                <w:kern w:val="0"/>
                <w:sz w:val="24"/>
                <w:szCs w:val="24"/>
              </w:rPr>
            </w:pPr>
            <w:r>
              <w:rPr>
                <w:rFonts w:hint="eastAsia" w:hAnsi="宋体" w:cs="宋体"/>
                <w:kern w:val="0"/>
                <w:sz w:val="24"/>
                <w:szCs w:val="24"/>
              </w:rPr>
              <w:t>3</w:t>
            </w:r>
          </w:p>
        </w:tc>
        <w:tc>
          <w:tcPr>
            <w:tcW w:w="880" w:type="dxa"/>
            <w:tcBorders>
              <w:top w:val="nil"/>
              <w:left w:val="nil"/>
              <w:bottom w:val="single" w:color="auto" w:sz="4" w:space="0"/>
              <w:right w:val="single" w:color="auto" w:sz="4" w:space="0"/>
            </w:tcBorders>
            <w:shd w:val="clear" w:color="000000" w:fill="FFFFFF"/>
            <w:vAlign w:val="center"/>
          </w:tcPr>
          <w:p>
            <w:pPr>
              <w:widowControl/>
              <w:jc w:val="center"/>
              <w:rPr>
                <w:rFonts w:hint="eastAsia" w:hAnsi="宋体" w:cs="宋体"/>
                <w:kern w:val="0"/>
                <w:sz w:val="24"/>
                <w:szCs w:val="24"/>
              </w:rPr>
            </w:pPr>
            <w:r>
              <w:rPr>
                <w:rFonts w:hint="eastAsia" w:hAnsi="宋体" w:cs="宋体"/>
                <w:kern w:val="0"/>
                <w:sz w:val="24"/>
                <w:szCs w:val="24"/>
              </w:rPr>
              <w:t>台</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r>
        <w:tblPrEx>
          <w:tblLayout w:type="fixed"/>
          <w:tblCellMar>
            <w:top w:w="0" w:type="dxa"/>
            <w:left w:w="108" w:type="dxa"/>
            <w:bottom w:w="0" w:type="dxa"/>
            <w:right w:w="108" w:type="dxa"/>
          </w:tblCellMar>
        </w:tblPrEx>
        <w:trPr>
          <w:trHeight w:val="270" w:hRule="atLeast"/>
          <w:jc w:val="center"/>
        </w:trPr>
        <w:tc>
          <w:tcPr>
            <w:tcW w:w="699" w:type="dxa"/>
            <w:tcBorders>
              <w:top w:val="nil"/>
              <w:left w:val="single" w:color="auto" w:sz="8" w:space="0"/>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6</w:t>
            </w:r>
          </w:p>
        </w:tc>
        <w:tc>
          <w:tcPr>
            <w:tcW w:w="4111" w:type="dxa"/>
            <w:tcBorders>
              <w:top w:val="nil"/>
              <w:left w:val="nil"/>
              <w:bottom w:val="single" w:color="auto" w:sz="4" w:space="0"/>
              <w:right w:val="single" w:color="auto" w:sz="4" w:space="0"/>
            </w:tcBorders>
            <w:vAlign w:val="center"/>
          </w:tcPr>
          <w:p>
            <w:pPr>
              <w:widowControl/>
              <w:jc w:val="left"/>
              <w:rPr>
                <w:rFonts w:hint="eastAsia" w:hAnsi="宋体" w:cs="宋体"/>
                <w:kern w:val="0"/>
                <w:sz w:val="24"/>
                <w:szCs w:val="24"/>
              </w:rPr>
            </w:pPr>
            <w:r>
              <w:rPr>
                <w:rFonts w:hint="eastAsia" w:hAnsi="宋体" w:cs="宋体"/>
                <w:kern w:val="0"/>
                <w:sz w:val="24"/>
                <w:szCs w:val="24"/>
              </w:rPr>
              <w:t>线缆及辅材</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3</w:t>
            </w:r>
          </w:p>
        </w:tc>
        <w:tc>
          <w:tcPr>
            <w:tcW w:w="880" w:type="dxa"/>
            <w:tcBorders>
              <w:top w:val="nil"/>
              <w:left w:val="nil"/>
              <w:bottom w:val="single" w:color="auto" w:sz="4" w:space="0"/>
              <w:right w:val="single" w:color="auto" w:sz="4" w:space="0"/>
            </w:tcBorders>
            <w:vAlign w:val="center"/>
          </w:tcPr>
          <w:p>
            <w:pPr>
              <w:widowControl/>
              <w:jc w:val="center"/>
              <w:rPr>
                <w:rFonts w:hint="eastAsia" w:hAnsi="宋体" w:cs="宋体"/>
                <w:kern w:val="0"/>
                <w:sz w:val="24"/>
                <w:szCs w:val="24"/>
              </w:rPr>
            </w:pPr>
            <w:r>
              <w:rPr>
                <w:rFonts w:hint="eastAsia" w:hAnsi="宋体" w:cs="宋体"/>
                <w:kern w:val="0"/>
                <w:sz w:val="24"/>
                <w:szCs w:val="24"/>
              </w:rPr>
              <w:t>批</w:t>
            </w:r>
          </w:p>
        </w:tc>
        <w:tc>
          <w:tcPr>
            <w:tcW w:w="2161" w:type="dxa"/>
            <w:tcBorders>
              <w:top w:val="nil"/>
              <w:left w:val="nil"/>
              <w:bottom w:val="single" w:color="auto" w:sz="4" w:space="0"/>
              <w:right w:val="single" w:color="auto" w:sz="8" w:space="0"/>
            </w:tcBorders>
            <w:vAlign w:val="center"/>
          </w:tcPr>
          <w:p>
            <w:pPr>
              <w:widowControl/>
              <w:jc w:val="left"/>
              <w:rPr>
                <w:rFonts w:hint="eastAsia" w:hAnsi="宋体" w:cs="宋体"/>
                <w:kern w:val="0"/>
                <w:sz w:val="24"/>
                <w:szCs w:val="24"/>
              </w:rPr>
            </w:pPr>
          </w:p>
        </w:tc>
      </w:tr>
    </w:tbl>
    <w:p>
      <w:pPr>
        <w:widowControl/>
        <w:spacing w:line="360" w:lineRule="auto"/>
        <w:ind w:firstLine="480" w:firstLineChars="200"/>
        <w:rPr>
          <w:rFonts w:hint="eastAsia" w:hAnsi="宋体"/>
          <w:bCs/>
          <w:sz w:val="24"/>
          <w:szCs w:val="24"/>
        </w:rPr>
      </w:pPr>
      <w:r>
        <w:rPr>
          <w:rFonts w:hint="eastAsia" w:hAnsi="宋体"/>
          <w:bCs/>
          <w:sz w:val="24"/>
          <w:szCs w:val="24"/>
        </w:rPr>
        <w:t>2.6交货地点：采购人指定地点；</w:t>
      </w:r>
    </w:p>
    <w:p>
      <w:pPr>
        <w:widowControl/>
        <w:spacing w:line="360" w:lineRule="auto"/>
        <w:ind w:firstLine="480" w:firstLineChars="200"/>
        <w:rPr>
          <w:rFonts w:hint="eastAsia" w:hAnsi="宋体"/>
          <w:bCs/>
          <w:sz w:val="24"/>
          <w:szCs w:val="24"/>
        </w:rPr>
      </w:pPr>
      <w:r>
        <w:rPr>
          <w:rFonts w:hint="eastAsia" w:hAnsi="宋体"/>
          <w:bCs/>
          <w:sz w:val="24"/>
          <w:szCs w:val="24"/>
        </w:rPr>
        <w:t>2.7交货方式：由采购人及采购人组织相关专业专家验收。</w:t>
      </w:r>
    </w:p>
    <w:p>
      <w:pPr>
        <w:widowControl/>
        <w:spacing w:line="360" w:lineRule="auto"/>
        <w:ind w:firstLine="480" w:firstLineChars="200"/>
        <w:rPr>
          <w:rFonts w:hint="eastAsia" w:hAnsi="宋体"/>
          <w:bCs/>
          <w:sz w:val="24"/>
          <w:szCs w:val="24"/>
        </w:rPr>
      </w:pPr>
      <w:r>
        <w:rPr>
          <w:rFonts w:hint="eastAsia" w:hAnsi="宋体"/>
          <w:bCs/>
          <w:sz w:val="24"/>
          <w:szCs w:val="24"/>
        </w:rPr>
        <w:t>2.8质量要求：符合国家及行业现行标准和采购人提出的技术需求，一次验收合格。</w:t>
      </w:r>
    </w:p>
    <w:p>
      <w:pPr>
        <w:widowControl/>
        <w:spacing w:line="360" w:lineRule="auto"/>
        <w:ind w:firstLine="480" w:firstLineChars="200"/>
        <w:rPr>
          <w:rFonts w:hint="eastAsia" w:hAnsi="宋体"/>
          <w:bCs/>
          <w:sz w:val="24"/>
          <w:szCs w:val="24"/>
        </w:rPr>
      </w:pPr>
      <w:r>
        <w:rPr>
          <w:rFonts w:hint="eastAsia" w:hAnsi="宋体"/>
          <w:bCs/>
          <w:sz w:val="24"/>
          <w:szCs w:val="24"/>
        </w:rPr>
        <w:t>2.9包段划分：本次采购项不划分标段。</w:t>
      </w:r>
    </w:p>
    <w:p>
      <w:pPr>
        <w:widowControl/>
        <w:numPr>
          <w:ilvl w:val="0"/>
          <w:numId w:val="1"/>
        </w:numPr>
        <w:spacing w:line="360" w:lineRule="auto"/>
        <w:rPr>
          <w:rFonts w:hint="eastAsia"/>
          <w:b/>
          <w:bCs/>
          <w:sz w:val="24"/>
          <w:szCs w:val="24"/>
        </w:rPr>
      </w:pPr>
      <w:r>
        <w:rPr>
          <w:rFonts w:hint="eastAsia"/>
          <w:b/>
          <w:bCs/>
          <w:sz w:val="24"/>
          <w:szCs w:val="24"/>
        </w:rPr>
        <w:t>供应商资格要求：</w:t>
      </w:r>
    </w:p>
    <w:p>
      <w:pPr>
        <w:snapToGrid w:val="0"/>
        <w:spacing w:line="360" w:lineRule="auto"/>
        <w:ind w:firstLine="480" w:firstLineChars="200"/>
        <w:rPr>
          <w:rFonts w:hAnsi="宋体"/>
          <w:sz w:val="24"/>
          <w:szCs w:val="24"/>
        </w:rPr>
      </w:pPr>
      <w:r>
        <w:rPr>
          <w:rFonts w:hint="eastAsia" w:hAnsi="宋体"/>
          <w:sz w:val="24"/>
          <w:szCs w:val="24"/>
        </w:rPr>
        <w:t>本次招标供应商应满足以下资格要求：</w:t>
      </w:r>
    </w:p>
    <w:p>
      <w:pPr>
        <w:spacing w:line="360" w:lineRule="auto"/>
        <w:ind w:firstLine="480" w:firstLineChars="200"/>
        <w:rPr>
          <w:rFonts w:hint="eastAsia" w:hAnsi="宋体"/>
          <w:sz w:val="24"/>
          <w:szCs w:val="24"/>
        </w:rPr>
      </w:pPr>
      <w:r>
        <w:rPr>
          <w:rFonts w:hint="eastAsia" w:hAnsi="宋体"/>
          <w:sz w:val="24"/>
          <w:szCs w:val="24"/>
        </w:rPr>
        <w:t>3.1供应商须满足政府采购法第二十二条如下规定：</w:t>
      </w:r>
    </w:p>
    <w:p>
      <w:pPr>
        <w:widowControl/>
        <w:spacing w:line="360" w:lineRule="auto"/>
        <w:ind w:firstLine="480" w:firstLineChars="200"/>
        <w:rPr>
          <w:rFonts w:hint="eastAsia" w:hAnsi="宋体"/>
          <w:bCs/>
          <w:sz w:val="24"/>
          <w:szCs w:val="24"/>
        </w:rPr>
      </w:pPr>
      <w:r>
        <w:rPr>
          <w:rFonts w:hint="eastAsia" w:hAnsi="宋体"/>
          <w:sz w:val="24"/>
          <w:szCs w:val="24"/>
        </w:rPr>
        <w:t>a.具有独立承担民事责任的能力，具备有效的营业执照且经营范围中须包含本次招标项目、税务登记证、组织机构代码证（或三证合一的营业执照），</w:t>
      </w:r>
      <w:r>
        <w:rPr>
          <w:rFonts w:hint="eastAsia" w:hAnsi="宋体"/>
          <w:bCs/>
          <w:sz w:val="24"/>
          <w:szCs w:val="24"/>
        </w:rPr>
        <w:t>并在有效期内；</w:t>
      </w:r>
    </w:p>
    <w:p>
      <w:pPr>
        <w:widowControl/>
        <w:spacing w:line="360" w:lineRule="auto"/>
        <w:ind w:firstLine="480" w:firstLineChars="200"/>
        <w:rPr>
          <w:rFonts w:hint="eastAsia" w:hAnsi="宋体"/>
          <w:sz w:val="24"/>
          <w:szCs w:val="24"/>
        </w:rPr>
      </w:pPr>
      <w:r>
        <w:rPr>
          <w:rFonts w:hint="eastAsia" w:hAnsi="宋体"/>
          <w:bCs/>
          <w:sz w:val="24"/>
          <w:szCs w:val="24"/>
        </w:rPr>
        <w:t>b.具备健</w:t>
      </w:r>
      <w:r>
        <w:rPr>
          <w:rFonts w:hint="eastAsia" w:hAnsi="宋体"/>
          <w:sz w:val="24"/>
          <w:szCs w:val="24"/>
        </w:rPr>
        <w:t>全的财务会计制度，提供近三年（2015年至2017年）</w:t>
      </w:r>
      <w:r>
        <w:rPr>
          <w:rFonts w:hint="eastAsia"/>
          <w:sz w:val="24"/>
          <w:szCs w:val="24"/>
        </w:rPr>
        <w:t>经审计的财务报表和审计报告；若2017年还未审计通过的，可提</w:t>
      </w:r>
      <w:r>
        <w:rPr>
          <w:rFonts w:hint="eastAsia" w:hAnsi="宋体"/>
          <w:sz w:val="24"/>
          <w:szCs w:val="24"/>
        </w:rPr>
        <w:t>供2014年至2016年经审计的财务报表及审计报告；若成立时间不足三年的，须提供成立至今经审计的财务报表及审计报告；</w:t>
      </w:r>
    </w:p>
    <w:p>
      <w:pPr>
        <w:widowControl/>
        <w:spacing w:line="360" w:lineRule="auto"/>
        <w:ind w:firstLine="480" w:firstLineChars="200"/>
        <w:rPr>
          <w:rFonts w:hint="eastAsia" w:hAnsi="宋体"/>
          <w:sz w:val="24"/>
          <w:szCs w:val="24"/>
        </w:rPr>
      </w:pPr>
      <w:r>
        <w:rPr>
          <w:rFonts w:hint="eastAsia" w:hAnsi="宋体"/>
          <w:sz w:val="24"/>
          <w:szCs w:val="24"/>
        </w:rPr>
        <w:t>c.具有履行合同所必需的设备和专业技术能力，供应商2016年1月至今承担过不少于</w:t>
      </w:r>
      <w:r>
        <w:rPr>
          <w:rFonts w:hAnsi="宋体"/>
          <w:sz w:val="24"/>
          <w:szCs w:val="24"/>
        </w:rPr>
        <w:t>3</w:t>
      </w:r>
      <w:r>
        <w:rPr>
          <w:rFonts w:hint="eastAsia" w:hAnsi="宋体"/>
          <w:sz w:val="24"/>
          <w:szCs w:val="24"/>
        </w:rPr>
        <w:t>个类似项目业绩（类似项目业绩指：合同金额在190万元（含）及以上的同类智能</w:t>
      </w:r>
      <w:r>
        <w:rPr>
          <w:rFonts w:hAnsi="宋体"/>
          <w:sz w:val="24"/>
          <w:szCs w:val="24"/>
        </w:rPr>
        <w:t>化、</w:t>
      </w:r>
      <w:r>
        <w:rPr>
          <w:rFonts w:hint="eastAsia" w:hAnsi="宋体"/>
          <w:sz w:val="24"/>
          <w:szCs w:val="24"/>
        </w:rPr>
        <w:t>信息化系统采购及安装项目业绩（提供中标通知书或合同等相关证明材料的复印件）。</w:t>
      </w:r>
    </w:p>
    <w:p>
      <w:pPr>
        <w:widowControl/>
        <w:spacing w:line="360" w:lineRule="auto"/>
        <w:ind w:firstLine="480" w:firstLineChars="200"/>
        <w:rPr>
          <w:rFonts w:hint="eastAsia" w:hAnsi="宋体"/>
          <w:sz w:val="24"/>
          <w:szCs w:val="24"/>
        </w:rPr>
      </w:pPr>
      <w:r>
        <w:rPr>
          <w:rFonts w:hint="eastAsia" w:hAnsi="宋体"/>
          <w:sz w:val="24"/>
          <w:szCs w:val="24"/>
        </w:rPr>
        <w:t>d.</w:t>
      </w:r>
      <w:r>
        <w:rPr>
          <w:sz w:val="24"/>
          <w:szCs w:val="24"/>
        </w:rPr>
        <w:t>有依法缴纳税收和社会保障资金的良好记录，提供近三个月缴纳税收及社保证明材料</w:t>
      </w:r>
      <w:r>
        <w:rPr>
          <w:rFonts w:hint="eastAsia" w:hAnsi="宋体"/>
          <w:sz w:val="24"/>
          <w:szCs w:val="24"/>
        </w:rPr>
        <w:t>；</w:t>
      </w:r>
    </w:p>
    <w:p>
      <w:pPr>
        <w:widowControl/>
        <w:spacing w:line="360" w:lineRule="auto"/>
        <w:ind w:firstLine="480" w:firstLineChars="200"/>
        <w:rPr>
          <w:rFonts w:hint="eastAsia" w:hAnsi="宋体"/>
          <w:sz w:val="24"/>
          <w:szCs w:val="24"/>
        </w:rPr>
      </w:pPr>
      <w:r>
        <w:rPr>
          <w:rFonts w:hint="eastAsia" w:hAnsi="宋体"/>
          <w:sz w:val="24"/>
          <w:szCs w:val="24"/>
        </w:rPr>
        <w:t>e.参加政府采购活动前三年内（201</w:t>
      </w:r>
      <w:r>
        <w:rPr>
          <w:rFonts w:hAnsi="宋体"/>
          <w:sz w:val="24"/>
          <w:szCs w:val="24"/>
        </w:rPr>
        <w:t>6</w:t>
      </w:r>
      <w:r>
        <w:rPr>
          <w:rFonts w:hint="eastAsia" w:hAnsi="宋体"/>
          <w:sz w:val="24"/>
          <w:szCs w:val="24"/>
        </w:rPr>
        <w:t>年至今），在经营活动中没有重大违法记录，“中国裁判文书网”网站（www.wenshu.court.gov.cn）查询企业、法定代表人自本招标公告发布日前三年的行贿犯罪档案查询结果，且无行贿犯罪记录；</w:t>
      </w:r>
      <w:r>
        <w:rPr>
          <w:rFonts w:hint="eastAsia" w:ascii="华文中宋" w:hAnsi="华文中宋" w:eastAsia="华文中宋" w:cs="华文中宋"/>
          <w:sz w:val="24"/>
          <w:szCs w:val="24"/>
        </w:rPr>
        <w:t>开标之日起前三年内无不良信用记录，</w:t>
      </w:r>
      <w:r>
        <w:rPr>
          <w:rFonts w:hint="eastAsia" w:ascii="华文中宋" w:hAnsi="华文中宋" w:eastAsia="华文中宋" w:cs="华文中宋"/>
          <w:sz w:val="24"/>
        </w:rPr>
        <w:t>依据《政府采购货物和服务招标投标管理办法》(财政部令第87号)、《财政部关于在政府采购活动中查询及使用信用记录有关问题的通知》(财库[2016]125号)相关规定，投标人在“信用中国(www.creditchina.gov.cn)”网站中未被列入失信被执行人记录、重大税收违法案件、政府采购严重违法失信名单当事人名单，查询时间自本项目招标公告发布之日起至投标截止时间，提供查询结果网页截图</w:t>
      </w:r>
      <w:r>
        <w:rPr>
          <w:rFonts w:hint="eastAsia" w:ascii="华文中宋" w:hAnsi="华文中宋" w:eastAsia="华文中宋" w:cs="华文中宋"/>
          <w:sz w:val="24"/>
          <w:szCs w:val="24"/>
        </w:rPr>
        <w:t>。</w:t>
      </w:r>
    </w:p>
    <w:p>
      <w:pPr>
        <w:spacing w:line="360" w:lineRule="auto"/>
        <w:ind w:firstLine="482" w:firstLineChars="200"/>
        <w:rPr>
          <w:rFonts w:hint="eastAsia" w:hAnsi="宋体"/>
          <w:b/>
          <w:sz w:val="24"/>
          <w:szCs w:val="24"/>
        </w:rPr>
      </w:pPr>
      <w:r>
        <w:rPr>
          <w:rFonts w:hint="eastAsia" w:hAnsi="宋体"/>
          <w:b/>
          <w:sz w:val="24"/>
          <w:szCs w:val="24"/>
        </w:rPr>
        <w:t>3.2供应商须具备主管部门颁发的云南省安全技术防范行业资信证贰</w:t>
      </w:r>
      <w:r>
        <w:rPr>
          <w:rFonts w:hint="eastAsia" w:hAnsi="宋体"/>
          <w:b/>
          <w:bCs/>
          <w:sz w:val="24"/>
          <w:szCs w:val="24"/>
        </w:rPr>
        <w:t>级或以</w:t>
      </w:r>
      <w:r>
        <w:rPr>
          <w:rFonts w:hAnsi="宋体"/>
          <w:b/>
          <w:bCs/>
          <w:sz w:val="24"/>
          <w:szCs w:val="24"/>
        </w:rPr>
        <w:t>上</w:t>
      </w:r>
      <w:r>
        <w:rPr>
          <w:rFonts w:hint="eastAsia" w:hAnsi="宋体"/>
          <w:b/>
          <w:sz w:val="24"/>
          <w:szCs w:val="24"/>
        </w:rPr>
        <w:t>资质；云南省安全防范系统工程备案证。</w:t>
      </w:r>
    </w:p>
    <w:p>
      <w:pPr>
        <w:snapToGrid w:val="0"/>
        <w:spacing w:line="360" w:lineRule="auto"/>
        <w:ind w:firstLine="480" w:firstLineChars="200"/>
        <w:rPr>
          <w:rFonts w:hint="eastAsia" w:hAnsi="宋体"/>
          <w:sz w:val="24"/>
          <w:szCs w:val="24"/>
        </w:rPr>
      </w:pPr>
      <w:r>
        <w:rPr>
          <w:rFonts w:hint="eastAsia" w:hAnsi="宋体"/>
          <w:sz w:val="24"/>
          <w:szCs w:val="24"/>
        </w:rPr>
        <w:t>3.3供应商未被列入“信用中国”网站（www.creditchina.gov.cn）失信被执行人、重大税收违法案件当事人名单、政府采购严重违法失信行为记录名单及中国政府采购网（www.ccgp.gov.cn）“政府采购严重违法失信行为信息记录”。</w:t>
      </w:r>
    </w:p>
    <w:p>
      <w:pPr>
        <w:snapToGrid w:val="0"/>
        <w:spacing w:line="360" w:lineRule="auto"/>
        <w:ind w:firstLine="480" w:firstLineChars="200"/>
        <w:rPr>
          <w:rFonts w:hint="eastAsia" w:hAnsi="宋体"/>
          <w:sz w:val="24"/>
          <w:szCs w:val="24"/>
        </w:rPr>
      </w:pPr>
      <w:r>
        <w:rPr>
          <w:rFonts w:hint="eastAsia" w:hAnsi="宋体"/>
          <w:sz w:val="24"/>
          <w:szCs w:val="24"/>
        </w:rPr>
        <w:t xml:space="preserve">3.4法定代表人为同一人的两个及以上法人，母公司、全资子公司及其控股公司不得同时参加该项目； </w:t>
      </w:r>
    </w:p>
    <w:p>
      <w:pPr>
        <w:snapToGrid w:val="0"/>
        <w:spacing w:line="360" w:lineRule="auto"/>
        <w:ind w:firstLine="480" w:firstLineChars="200"/>
        <w:rPr>
          <w:rFonts w:hint="eastAsia" w:hAnsi="宋体"/>
          <w:sz w:val="24"/>
          <w:szCs w:val="24"/>
        </w:rPr>
      </w:pPr>
      <w:r>
        <w:rPr>
          <w:rFonts w:hint="eastAsia" w:hAnsi="宋体"/>
          <w:sz w:val="24"/>
          <w:szCs w:val="24"/>
        </w:rPr>
        <w:t xml:space="preserve">3.5本次招标不接受联合体申请；  </w:t>
      </w:r>
    </w:p>
    <w:p>
      <w:pPr>
        <w:widowControl/>
        <w:spacing w:line="360" w:lineRule="auto"/>
        <w:ind w:left="105" w:leftChars="50" w:firstLine="364" w:firstLineChars="152"/>
        <w:rPr>
          <w:rFonts w:hint="eastAsia" w:hAnsi="宋体"/>
          <w:sz w:val="24"/>
          <w:szCs w:val="24"/>
        </w:rPr>
      </w:pPr>
      <w:r>
        <w:rPr>
          <w:rFonts w:hint="eastAsia" w:hAnsi="宋体"/>
          <w:sz w:val="24"/>
          <w:szCs w:val="24"/>
        </w:rPr>
        <w:t>3.6</w:t>
      </w:r>
      <w:r>
        <w:rPr>
          <w:rFonts w:hAnsi="宋体"/>
          <w:sz w:val="24"/>
          <w:szCs w:val="24"/>
        </w:rPr>
        <w:t>.</w:t>
      </w:r>
      <w:r>
        <w:rPr>
          <w:rFonts w:hint="eastAsia" w:hAnsi="宋体" w:cs="宋体"/>
          <w:kern w:val="0"/>
          <w:sz w:val="24"/>
          <w:szCs w:val="24"/>
        </w:rPr>
        <w:t>中标人中标后不允许进行二次转包，如经查实，将取消中标资格和终止合同，须做出书面承诺</w:t>
      </w:r>
      <w:r>
        <w:rPr>
          <w:rFonts w:hint="eastAsia" w:hAnsi="宋体"/>
          <w:sz w:val="24"/>
          <w:szCs w:val="24"/>
        </w:rPr>
        <w:t>；</w:t>
      </w:r>
    </w:p>
    <w:p>
      <w:pPr>
        <w:widowControl/>
        <w:spacing w:line="360" w:lineRule="auto"/>
        <w:ind w:firstLine="484" w:firstLineChars="202"/>
        <w:rPr>
          <w:rFonts w:hint="eastAsia" w:hAnsi="宋体"/>
          <w:sz w:val="24"/>
          <w:szCs w:val="24"/>
        </w:rPr>
      </w:pPr>
      <w:r>
        <w:rPr>
          <w:rFonts w:hint="eastAsia" w:hAnsi="宋体"/>
          <w:sz w:val="24"/>
          <w:szCs w:val="24"/>
        </w:rPr>
        <w:t>3.7 根据公安部门的要求，影像资料的储存时间不得低于三个月；</w:t>
      </w:r>
    </w:p>
    <w:p>
      <w:pPr>
        <w:widowControl/>
        <w:spacing w:line="360" w:lineRule="auto"/>
        <w:ind w:firstLine="484" w:firstLineChars="202"/>
        <w:rPr>
          <w:rFonts w:hint="eastAsia" w:hAnsi="宋体"/>
          <w:sz w:val="24"/>
          <w:szCs w:val="24"/>
        </w:rPr>
      </w:pPr>
      <w:r>
        <w:rPr>
          <w:rFonts w:hint="eastAsia" w:hAnsi="宋体"/>
          <w:sz w:val="24"/>
          <w:szCs w:val="24"/>
        </w:rPr>
        <w:t>3.8 本项目不接受联合体投标。</w:t>
      </w:r>
    </w:p>
    <w:p>
      <w:pPr>
        <w:autoSpaceDE w:val="0"/>
        <w:autoSpaceDN w:val="0"/>
        <w:adjustRightInd w:val="0"/>
        <w:spacing w:line="400" w:lineRule="exact"/>
        <w:ind w:right="-178" w:rightChars="-85"/>
        <w:rPr>
          <w:b/>
          <w:color w:val="333333"/>
          <w:sz w:val="24"/>
          <w:shd w:val="clear" w:color="auto" w:fill="FFFFFF"/>
        </w:rPr>
      </w:pPr>
      <w:r>
        <w:rPr>
          <w:b/>
          <w:color w:val="333333"/>
          <w:sz w:val="24"/>
          <w:shd w:val="clear" w:color="auto" w:fill="FFFFFF"/>
        </w:rPr>
        <w:t>四、报名方式、时间、地点、售价：</w:t>
      </w:r>
    </w:p>
    <w:p>
      <w:pPr>
        <w:widowControl/>
        <w:spacing w:line="360" w:lineRule="auto"/>
        <w:ind w:firstLine="484" w:firstLineChars="202"/>
        <w:rPr>
          <w:rFonts w:hAnsi="宋体" w:cs="宋体"/>
          <w:color w:val="000000"/>
          <w:kern w:val="0"/>
          <w:sz w:val="24"/>
          <w:szCs w:val="22"/>
        </w:rPr>
      </w:pPr>
      <w:r>
        <w:rPr>
          <w:rFonts w:hAnsi="宋体" w:cs="宋体"/>
          <w:color w:val="000000"/>
          <w:kern w:val="0"/>
          <w:sz w:val="24"/>
          <w:szCs w:val="22"/>
        </w:rPr>
        <w:t>4.1报名时间：参加投标的投标单</w:t>
      </w:r>
      <w:r>
        <w:rPr>
          <w:rFonts w:hAnsi="宋体" w:cs="宋体"/>
          <w:color w:val="000000"/>
          <w:kern w:val="0"/>
          <w:sz w:val="24"/>
          <w:szCs w:val="22"/>
          <w:highlight w:val="none"/>
        </w:rPr>
        <w:t>位，必须在 201</w:t>
      </w:r>
      <w:r>
        <w:rPr>
          <w:rFonts w:hint="eastAsia" w:hAnsi="宋体" w:cs="宋体"/>
          <w:color w:val="000000"/>
          <w:kern w:val="0"/>
          <w:sz w:val="24"/>
          <w:szCs w:val="22"/>
          <w:highlight w:val="none"/>
        </w:rPr>
        <w:t>9</w:t>
      </w:r>
      <w:r>
        <w:rPr>
          <w:rFonts w:hAnsi="宋体" w:cs="宋体"/>
          <w:color w:val="000000"/>
          <w:kern w:val="0"/>
          <w:sz w:val="24"/>
          <w:szCs w:val="22"/>
          <w:highlight w:val="none"/>
        </w:rPr>
        <w:t>年</w:t>
      </w:r>
      <w:r>
        <w:rPr>
          <w:rFonts w:hint="eastAsia" w:hAnsi="宋体" w:cs="宋体"/>
          <w:color w:val="000000"/>
          <w:kern w:val="0"/>
          <w:sz w:val="24"/>
          <w:szCs w:val="22"/>
          <w:highlight w:val="none"/>
          <w:lang w:val="en-US" w:eastAsia="zh-CN"/>
        </w:rPr>
        <w:t>3</w:t>
      </w:r>
      <w:r>
        <w:rPr>
          <w:rFonts w:hAnsi="宋体" w:cs="宋体"/>
          <w:color w:val="000000"/>
          <w:kern w:val="0"/>
          <w:sz w:val="24"/>
          <w:szCs w:val="22"/>
          <w:highlight w:val="none"/>
        </w:rPr>
        <w:t>月</w:t>
      </w:r>
      <w:r>
        <w:rPr>
          <w:rFonts w:hint="eastAsia" w:hAnsi="宋体" w:cs="宋体"/>
          <w:color w:val="000000"/>
          <w:kern w:val="0"/>
          <w:sz w:val="24"/>
          <w:szCs w:val="22"/>
          <w:highlight w:val="none"/>
          <w:lang w:val="en-US" w:eastAsia="zh-CN"/>
        </w:rPr>
        <w:t>11</w:t>
      </w:r>
      <w:r>
        <w:rPr>
          <w:rFonts w:hint="eastAsia" w:hAnsi="宋体" w:cs="宋体"/>
          <w:color w:val="000000"/>
          <w:kern w:val="0"/>
          <w:sz w:val="24"/>
          <w:szCs w:val="22"/>
          <w:highlight w:val="none"/>
        </w:rPr>
        <w:t xml:space="preserve"> </w:t>
      </w:r>
      <w:r>
        <w:rPr>
          <w:rFonts w:hAnsi="宋体" w:cs="宋体"/>
          <w:color w:val="000000"/>
          <w:kern w:val="0"/>
          <w:sz w:val="24"/>
          <w:szCs w:val="22"/>
          <w:highlight w:val="none"/>
        </w:rPr>
        <w:t>日上午8:00时至201</w:t>
      </w:r>
      <w:r>
        <w:rPr>
          <w:rFonts w:hint="eastAsia" w:hAnsi="宋体" w:cs="宋体"/>
          <w:color w:val="000000"/>
          <w:kern w:val="0"/>
          <w:sz w:val="24"/>
          <w:szCs w:val="22"/>
          <w:highlight w:val="none"/>
        </w:rPr>
        <w:t>9</w:t>
      </w:r>
      <w:r>
        <w:rPr>
          <w:rFonts w:hAnsi="宋体" w:cs="宋体"/>
          <w:color w:val="000000"/>
          <w:kern w:val="0"/>
          <w:sz w:val="24"/>
          <w:szCs w:val="22"/>
          <w:highlight w:val="none"/>
        </w:rPr>
        <w:t>年</w:t>
      </w:r>
      <w:r>
        <w:rPr>
          <w:rFonts w:hint="eastAsia" w:hAnsi="宋体" w:cs="宋体"/>
          <w:color w:val="000000"/>
          <w:kern w:val="0"/>
          <w:sz w:val="24"/>
          <w:szCs w:val="22"/>
          <w:highlight w:val="none"/>
          <w:lang w:val="en-US" w:eastAsia="zh-CN"/>
        </w:rPr>
        <w:t>3</w:t>
      </w:r>
      <w:r>
        <w:rPr>
          <w:rFonts w:hAnsi="宋体" w:cs="宋体"/>
          <w:color w:val="000000"/>
          <w:kern w:val="0"/>
          <w:sz w:val="24"/>
          <w:szCs w:val="22"/>
          <w:highlight w:val="none"/>
        </w:rPr>
        <w:t>月</w:t>
      </w:r>
      <w:r>
        <w:rPr>
          <w:rFonts w:hint="eastAsia" w:hAnsi="宋体" w:cs="宋体"/>
          <w:color w:val="000000"/>
          <w:kern w:val="0"/>
          <w:sz w:val="24"/>
          <w:szCs w:val="22"/>
          <w:highlight w:val="none"/>
          <w:lang w:val="en-US" w:eastAsia="zh-CN"/>
        </w:rPr>
        <w:t>15</w:t>
      </w:r>
      <w:r>
        <w:rPr>
          <w:rFonts w:hAnsi="宋体" w:cs="宋体"/>
          <w:color w:val="000000"/>
          <w:kern w:val="0"/>
          <w:sz w:val="24"/>
          <w:szCs w:val="22"/>
          <w:highlight w:val="none"/>
        </w:rPr>
        <w:t>日17:30，登录楚雄州公共资源交易电子服务系统（</w:t>
      </w:r>
      <w:r>
        <w:rPr>
          <w:rFonts w:hAnsi="宋体" w:cs="宋体"/>
          <w:color w:val="000000"/>
          <w:kern w:val="0"/>
          <w:sz w:val="24"/>
          <w:szCs w:val="22"/>
        </w:rPr>
        <w:t>网址：</w:t>
      </w:r>
      <w:r>
        <w:fldChar w:fldCharType="begin"/>
      </w:r>
      <w:r>
        <w:instrText xml:space="preserve"> HYPERLINK "http://www.cxggzy.cn)，凭企业数字证书（USBKEY）在网上获取电子招标文件及其它招标资料；" </w:instrText>
      </w:r>
      <w:r>
        <w:fldChar w:fldCharType="separate"/>
      </w:r>
      <w:r>
        <w:rPr>
          <w:rStyle w:val="5"/>
          <w:kern w:val="0"/>
          <w:sz w:val="24"/>
          <w:szCs w:val="22"/>
        </w:rPr>
        <w:t>http://www.cxggzy.cn)，凭企业数字证书（USBKEY）在网上获取电子招标文件及其它招标资料；</w:t>
      </w:r>
      <w:r>
        <w:rPr>
          <w:rStyle w:val="5"/>
          <w:kern w:val="0"/>
          <w:sz w:val="24"/>
          <w:szCs w:val="22"/>
        </w:rPr>
        <w:fldChar w:fldCharType="end"/>
      </w:r>
    </w:p>
    <w:p>
      <w:pPr>
        <w:widowControl/>
        <w:spacing w:line="360" w:lineRule="auto"/>
        <w:ind w:firstLine="484" w:firstLineChars="202"/>
        <w:rPr>
          <w:rFonts w:hAnsi="宋体" w:cs="宋体"/>
          <w:color w:val="000000"/>
          <w:kern w:val="0"/>
          <w:sz w:val="24"/>
          <w:szCs w:val="22"/>
        </w:rPr>
      </w:pPr>
      <w:r>
        <w:rPr>
          <w:rFonts w:hAnsi="宋体"/>
          <w:kern w:val="0"/>
          <w:sz w:val="24"/>
        </w:rPr>
        <w:t>4.2</w:t>
      </w:r>
      <w:r>
        <w:rPr>
          <w:rFonts w:hAnsi="宋体"/>
          <w:bCs/>
          <w:sz w:val="24"/>
        </w:rPr>
        <w:t>招标文件</w:t>
      </w:r>
      <w:r>
        <w:rPr>
          <w:rFonts w:hint="eastAsia" w:hAnsi="宋体"/>
          <w:bCs/>
          <w:sz w:val="24"/>
        </w:rPr>
        <w:t>不收取费用</w:t>
      </w:r>
      <w:r>
        <w:rPr>
          <w:rFonts w:hAnsi="宋体"/>
          <w:sz w:val="24"/>
        </w:rPr>
        <w:t>。</w:t>
      </w:r>
    </w:p>
    <w:p>
      <w:pPr>
        <w:widowControl/>
        <w:spacing w:line="360" w:lineRule="auto"/>
        <w:ind w:firstLine="487" w:firstLineChars="202"/>
        <w:rPr>
          <w:rFonts w:cs="font3-Identity-H"/>
          <w:sz w:val="24"/>
        </w:rPr>
      </w:pPr>
      <w:r>
        <w:rPr>
          <w:b/>
          <w:color w:val="333333"/>
          <w:sz w:val="24"/>
          <w:shd w:val="clear" w:color="auto" w:fill="FFFFFF"/>
        </w:rPr>
        <w:t>注意：参加投标的供应商，需登录楚雄州公共资源交易电子服务系统（网址：</w:t>
      </w:r>
      <w:r>
        <w:fldChar w:fldCharType="begin"/>
      </w:r>
      <w:r>
        <w:instrText xml:space="preserve"> HYPERLINK "http://www.cxggzy.cn:8001%EF%BC%89,%E5%87%AD%E4%BC%81%E4%B8%9A%E6%95%B0%E5%AD%97%E8%AF%81%E4%B9%A6/" </w:instrText>
      </w:r>
      <w:r>
        <w:fldChar w:fldCharType="separate"/>
      </w:r>
      <w:r>
        <w:rPr>
          <w:rStyle w:val="5"/>
          <w:b/>
          <w:sz w:val="24"/>
          <w:shd w:val="clear" w:color="auto" w:fill="FFFFFF"/>
        </w:rPr>
        <w:t>http://www.cxggzy.cn/），凭企业数字证书</w:t>
      </w:r>
      <w:r>
        <w:rPr>
          <w:rStyle w:val="5"/>
          <w:b/>
          <w:sz w:val="24"/>
          <w:shd w:val="clear" w:color="auto" w:fill="FFFFFF"/>
        </w:rPr>
        <w:fldChar w:fldCharType="end"/>
      </w:r>
      <w:r>
        <w:rPr>
          <w:b/>
          <w:color w:val="333333"/>
          <w:sz w:val="24"/>
          <w:shd w:val="clear" w:color="auto" w:fill="FFFFFF"/>
        </w:rPr>
        <w:t>（USBKY）在网上获取电子采购文件及其他招标资料。未办理企业数字证书（USBKY）的企业需要按照楚雄州公共资源交易电子服务系统认证的要求，办理企业数字证书（USBKY），并在楚雄州公共资源交易电子服务系统完成注册后，方可报名并获取采购文件。</w:t>
      </w:r>
    </w:p>
    <w:p>
      <w:pPr>
        <w:spacing w:line="360" w:lineRule="auto"/>
        <w:rPr>
          <w:b/>
          <w:bCs/>
          <w:sz w:val="24"/>
        </w:rPr>
      </w:pPr>
      <w:r>
        <w:rPr>
          <w:rFonts w:hAnsi="宋体"/>
          <w:b/>
          <w:bCs/>
          <w:sz w:val="24"/>
        </w:rPr>
        <w:t>五</w:t>
      </w:r>
      <w:r>
        <w:rPr>
          <w:rFonts w:hint="eastAsia" w:hAnsi="宋体"/>
          <w:b/>
          <w:bCs/>
          <w:sz w:val="24"/>
        </w:rPr>
        <w:t>、</w:t>
      </w:r>
      <w:r>
        <w:rPr>
          <w:rFonts w:hAnsi="宋体"/>
          <w:b/>
          <w:bCs/>
          <w:sz w:val="24"/>
        </w:rPr>
        <w:t>开标时间及地点</w:t>
      </w:r>
    </w:p>
    <w:p>
      <w:pPr>
        <w:spacing w:line="360" w:lineRule="auto"/>
        <w:ind w:firstLine="482" w:firstLineChars="200"/>
        <w:rPr>
          <w:rFonts w:cs="宋体"/>
          <w:b/>
          <w:bCs/>
          <w:color w:val="000000"/>
          <w:sz w:val="24"/>
          <w:highlight w:val="none"/>
        </w:rPr>
      </w:pPr>
      <w:r>
        <w:rPr>
          <w:rFonts w:hAnsi="宋体"/>
          <w:b/>
          <w:bCs/>
          <w:sz w:val="24"/>
          <w:highlight w:val="none"/>
        </w:rPr>
        <w:t>5.1递交投标文件截止时</w:t>
      </w:r>
      <w:r>
        <w:rPr>
          <w:rFonts w:hAnsi="宋体" w:cs="宋体"/>
          <w:b/>
          <w:bCs/>
          <w:color w:val="000000"/>
          <w:sz w:val="24"/>
          <w:highlight w:val="none"/>
        </w:rPr>
        <w:t>间：201</w:t>
      </w:r>
      <w:r>
        <w:rPr>
          <w:rFonts w:hint="eastAsia" w:hAnsi="宋体" w:cs="宋体"/>
          <w:b/>
          <w:bCs/>
          <w:color w:val="000000"/>
          <w:sz w:val="24"/>
          <w:highlight w:val="none"/>
        </w:rPr>
        <w:t>9</w:t>
      </w:r>
      <w:r>
        <w:rPr>
          <w:rFonts w:hAnsi="宋体" w:cs="宋体"/>
          <w:b/>
          <w:bCs/>
          <w:color w:val="000000"/>
          <w:sz w:val="24"/>
          <w:highlight w:val="none"/>
        </w:rPr>
        <w:t>年</w:t>
      </w:r>
      <w:r>
        <w:rPr>
          <w:rFonts w:hint="eastAsia" w:hAnsi="宋体" w:cs="宋体"/>
          <w:b/>
          <w:bCs/>
          <w:color w:val="000000"/>
          <w:sz w:val="24"/>
          <w:highlight w:val="none"/>
          <w:lang w:val="en-US" w:eastAsia="zh-CN"/>
        </w:rPr>
        <w:t>4</w:t>
      </w:r>
      <w:r>
        <w:rPr>
          <w:rFonts w:hAnsi="宋体" w:cs="宋体"/>
          <w:b/>
          <w:bCs/>
          <w:color w:val="000000"/>
          <w:sz w:val="24"/>
          <w:highlight w:val="none"/>
        </w:rPr>
        <w:t>月</w:t>
      </w:r>
      <w:r>
        <w:rPr>
          <w:rFonts w:hint="eastAsia" w:hAnsi="宋体" w:cs="宋体"/>
          <w:b/>
          <w:bCs/>
          <w:color w:val="000000"/>
          <w:sz w:val="24"/>
          <w:highlight w:val="none"/>
          <w:lang w:val="en-US" w:eastAsia="zh-CN"/>
        </w:rPr>
        <w:t>2</w:t>
      </w:r>
      <w:r>
        <w:rPr>
          <w:rFonts w:hAnsi="宋体" w:cs="宋体"/>
          <w:b/>
          <w:bCs/>
          <w:color w:val="000000"/>
          <w:sz w:val="24"/>
          <w:highlight w:val="none"/>
        </w:rPr>
        <w:t>日上午08:30至09:00分；</w:t>
      </w:r>
    </w:p>
    <w:p>
      <w:pPr>
        <w:widowControl/>
        <w:snapToGrid w:val="0"/>
        <w:spacing w:line="400" w:lineRule="atLeast"/>
        <w:ind w:firstLine="481"/>
        <w:jc w:val="left"/>
        <w:textAlignment w:val="baseline"/>
        <w:rPr>
          <w:b/>
          <w:bCs/>
          <w:highlight w:val="none"/>
        </w:rPr>
      </w:pPr>
      <w:r>
        <w:rPr>
          <w:rFonts w:hAnsi="宋体" w:cs="宋体"/>
          <w:b/>
          <w:bCs/>
          <w:color w:val="000000"/>
          <w:sz w:val="24"/>
          <w:highlight w:val="none"/>
        </w:rPr>
        <w:t>5.2开标时间：201</w:t>
      </w:r>
      <w:r>
        <w:rPr>
          <w:rFonts w:hint="eastAsia" w:hAnsi="宋体" w:cs="宋体"/>
          <w:b/>
          <w:bCs/>
          <w:color w:val="000000"/>
          <w:sz w:val="24"/>
          <w:highlight w:val="none"/>
        </w:rPr>
        <w:t>9</w:t>
      </w:r>
      <w:r>
        <w:rPr>
          <w:rFonts w:hAnsi="宋体" w:cs="宋体"/>
          <w:b/>
          <w:bCs/>
          <w:color w:val="000000"/>
          <w:sz w:val="24"/>
          <w:highlight w:val="none"/>
        </w:rPr>
        <w:t>年</w:t>
      </w:r>
      <w:r>
        <w:rPr>
          <w:rFonts w:hint="eastAsia" w:hAnsi="宋体" w:cs="宋体"/>
          <w:b/>
          <w:bCs/>
          <w:color w:val="000000"/>
          <w:sz w:val="24"/>
          <w:highlight w:val="none"/>
          <w:lang w:val="en-US" w:eastAsia="zh-CN"/>
        </w:rPr>
        <w:t>4</w:t>
      </w:r>
      <w:r>
        <w:rPr>
          <w:rFonts w:hAnsi="宋体" w:cs="宋体"/>
          <w:b/>
          <w:bCs/>
          <w:color w:val="000000"/>
          <w:sz w:val="24"/>
          <w:highlight w:val="none"/>
        </w:rPr>
        <w:t>月</w:t>
      </w:r>
      <w:r>
        <w:rPr>
          <w:rFonts w:hint="eastAsia" w:hAnsi="宋体" w:cs="宋体"/>
          <w:b/>
          <w:bCs/>
          <w:color w:val="000000"/>
          <w:sz w:val="24"/>
          <w:highlight w:val="none"/>
          <w:lang w:val="en-US" w:eastAsia="zh-CN"/>
        </w:rPr>
        <w:t>2</w:t>
      </w:r>
      <w:r>
        <w:rPr>
          <w:rFonts w:hAnsi="宋体" w:cs="宋体"/>
          <w:b/>
          <w:bCs/>
          <w:color w:val="000000"/>
          <w:sz w:val="24"/>
          <w:highlight w:val="none"/>
        </w:rPr>
        <w:t>日上午09时</w:t>
      </w:r>
      <w:r>
        <w:rPr>
          <w:rFonts w:cs="宋体"/>
          <w:b/>
          <w:bCs/>
          <w:color w:val="000000"/>
          <w:sz w:val="24"/>
          <w:highlight w:val="none"/>
        </w:rPr>
        <w:t>00</w:t>
      </w:r>
      <w:r>
        <w:rPr>
          <w:rFonts w:hAnsi="宋体" w:cs="宋体"/>
          <w:b/>
          <w:bCs/>
          <w:color w:val="000000"/>
          <w:sz w:val="24"/>
          <w:highlight w:val="none"/>
        </w:rPr>
        <w:t>分；</w:t>
      </w:r>
    </w:p>
    <w:p>
      <w:pPr>
        <w:widowControl/>
        <w:spacing w:line="360" w:lineRule="auto"/>
        <w:ind w:firstLine="484" w:firstLineChars="202"/>
        <w:rPr>
          <w:kern w:val="0"/>
          <w:sz w:val="24"/>
        </w:rPr>
      </w:pPr>
      <w:r>
        <w:rPr>
          <w:rFonts w:hAnsi="宋体" w:cs="宋体"/>
          <w:color w:val="000000"/>
          <w:sz w:val="24"/>
        </w:rPr>
        <w:t>5.3开标地点：元谋县公共资源交易中心（元谋县政务服务管理局6楼开标室（元谋</w:t>
      </w:r>
      <w:r>
        <w:rPr>
          <w:rFonts w:hAnsi="宋体"/>
          <w:kern w:val="0"/>
          <w:sz w:val="24"/>
        </w:rPr>
        <w:t>县元马镇发祥路38号）。</w:t>
      </w:r>
    </w:p>
    <w:p>
      <w:pPr>
        <w:spacing w:line="360" w:lineRule="auto"/>
        <w:rPr>
          <w:b/>
          <w:kern w:val="0"/>
          <w:sz w:val="24"/>
        </w:rPr>
      </w:pPr>
      <w:r>
        <w:rPr>
          <w:rFonts w:hAnsi="宋体"/>
          <w:b/>
          <w:kern w:val="0"/>
          <w:sz w:val="24"/>
        </w:rPr>
        <w:t>六</w:t>
      </w:r>
      <w:r>
        <w:rPr>
          <w:rFonts w:hint="eastAsia" w:hAnsi="宋体"/>
          <w:b/>
          <w:kern w:val="0"/>
          <w:sz w:val="24"/>
        </w:rPr>
        <w:t>、</w:t>
      </w:r>
      <w:r>
        <w:rPr>
          <w:rFonts w:hAnsi="宋体"/>
          <w:b/>
          <w:kern w:val="0"/>
          <w:sz w:val="24"/>
        </w:rPr>
        <w:t>投标文件的递交方式</w:t>
      </w:r>
    </w:p>
    <w:p>
      <w:pPr>
        <w:spacing w:line="420" w:lineRule="exact"/>
        <w:ind w:firstLine="480"/>
        <w:rPr>
          <w:rFonts w:hAnsi="宋体" w:cs="宋体"/>
          <w:kern w:val="24"/>
          <w:sz w:val="24"/>
        </w:rPr>
      </w:pPr>
      <w:r>
        <w:rPr>
          <w:rFonts w:hAnsi="宋体" w:cs="宋体"/>
          <w:kern w:val="24"/>
          <w:sz w:val="24"/>
        </w:rPr>
        <w:t>6.1开标地点及要求：元谋县公共资源交易中心，投标单位届时应派授权人（或法定代表人）代表准时出席，否则投标书无效；</w:t>
      </w:r>
    </w:p>
    <w:p>
      <w:pPr>
        <w:spacing w:line="420" w:lineRule="exact"/>
        <w:ind w:firstLine="480"/>
        <w:rPr>
          <w:rFonts w:hAnsi="宋体" w:cs="宋体"/>
          <w:kern w:val="24"/>
          <w:sz w:val="24"/>
        </w:rPr>
      </w:pPr>
      <w:r>
        <w:rPr>
          <w:rFonts w:hAnsi="宋体" w:cs="宋体"/>
          <w:kern w:val="24"/>
          <w:sz w:val="24"/>
        </w:rPr>
        <w:t>6.2投标人须携带“企业数字证书和法人电子证书”按招标须知确定的时间、地点参加投标，响应投标人在报价截止时间后用加密时数字证书（CA）进行现场解密，读取或导入投标文件，因投标人原因造成投标文件未解密的，视为撤回其投标报价，招标人不予受理；</w:t>
      </w:r>
    </w:p>
    <w:p>
      <w:pPr>
        <w:spacing w:line="420" w:lineRule="exact"/>
        <w:ind w:firstLine="480"/>
        <w:rPr>
          <w:rFonts w:hAnsi="宋体" w:cs="font3-Identity-H"/>
          <w:bCs/>
          <w:sz w:val="24"/>
          <w:lang w:val="zh-CN"/>
        </w:rPr>
      </w:pPr>
      <w:r>
        <w:rPr>
          <w:rFonts w:hAnsi="宋体" w:cs="宋体"/>
          <w:kern w:val="24"/>
          <w:sz w:val="24"/>
        </w:rPr>
        <w:t>6.3电子</w:t>
      </w:r>
      <w:r>
        <w:rPr>
          <w:bCs/>
          <w:color w:val="333333"/>
          <w:sz w:val="24"/>
          <w:shd w:val="clear" w:color="auto" w:fill="FFFFFF"/>
        </w:rPr>
        <w:t>投标文件须在截标前在楚雄州公共资源交易电子服务系统上传所有电子响应文件，网上确认电子签名，并打印“上传响应文件回执”。报价截止时间未按要求上传响应文件的视为自动放弃报价；</w:t>
      </w:r>
    </w:p>
    <w:p>
      <w:pPr>
        <w:widowControl/>
        <w:snapToGrid w:val="0"/>
        <w:spacing w:line="400" w:lineRule="atLeast"/>
        <w:jc w:val="left"/>
        <w:textAlignment w:val="baseline"/>
        <w:rPr>
          <w:rFonts w:cs="宋体"/>
          <w:b/>
          <w:bCs/>
          <w:color w:val="000000"/>
          <w:sz w:val="24"/>
        </w:rPr>
      </w:pPr>
      <w:r>
        <w:rPr>
          <w:rFonts w:hAnsi="宋体" w:cs="宋体"/>
          <w:b/>
          <w:bCs/>
          <w:color w:val="000000"/>
          <w:sz w:val="24"/>
        </w:rPr>
        <w:t>七、电子标书制作</w:t>
      </w:r>
    </w:p>
    <w:p>
      <w:pPr>
        <w:widowControl/>
        <w:snapToGrid w:val="0"/>
        <w:spacing w:line="400" w:lineRule="atLeast"/>
        <w:ind w:firstLine="480" w:firstLineChars="200"/>
        <w:jc w:val="left"/>
        <w:textAlignment w:val="baseline"/>
        <w:rPr>
          <w:rFonts w:cs="宋体"/>
          <w:kern w:val="24"/>
          <w:sz w:val="24"/>
        </w:rPr>
      </w:pPr>
      <w:r>
        <w:rPr>
          <w:rFonts w:hAnsi="宋体" w:cs="宋体"/>
          <w:color w:val="000000"/>
          <w:sz w:val="24"/>
        </w:rPr>
        <w:t>7.1电子报价必须使用《云南省政府采购投标文件编制系统》制作（电子标书格式为*.ZCTBJ,此编制系统可在楚雄州公共资源交易电子服务系统下载专区下载安装），按照招标文件格式采用单位和个人电子签章及电子签名，包括企业和法定代表人。</w:t>
      </w:r>
    </w:p>
    <w:p>
      <w:pPr>
        <w:spacing w:line="420" w:lineRule="exact"/>
        <w:rPr>
          <w:rFonts w:cs="宋体"/>
          <w:b/>
          <w:bCs/>
          <w:kern w:val="24"/>
          <w:sz w:val="24"/>
        </w:rPr>
      </w:pPr>
      <w:r>
        <w:rPr>
          <w:rFonts w:hAnsi="宋体" w:cs="宋体"/>
          <w:b/>
          <w:bCs/>
          <w:kern w:val="24"/>
          <w:sz w:val="24"/>
        </w:rPr>
        <w:t>八.投标保证金缴纳</w:t>
      </w:r>
    </w:p>
    <w:p>
      <w:pPr>
        <w:spacing w:line="420" w:lineRule="exact"/>
        <w:ind w:firstLine="480"/>
        <w:rPr>
          <w:rFonts w:cs="宋体"/>
          <w:kern w:val="24"/>
          <w:sz w:val="24"/>
        </w:rPr>
      </w:pPr>
      <w:r>
        <w:rPr>
          <w:rFonts w:hAnsi="宋体" w:cs="宋体"/>
          <w:b/>
          <w:bCs/>
          <w:kern w:val="24"/>
          <w:sz w:val="24"/>
          <w:highlight w:val="none"/>
        </w:rPr>
        <w:t>投标人必须在201</w:t>
      </w:r>
      <w:r>
        <w:rPr>
          <w:rFonts w:hint="eastAsia" w:hAnsi="宋体" w:cs="宋体"/>
          <w:b/>
          <w:bCs/>
          <w:kern w:val="24"/>
          <w:sz w:val="24"/>
          <w:highlight w:val="none"/>
        </w:rPr>
        <w:t>9</w:t>
      </w:r>
      <w:r>
        <w:rPr>
          <w:rFonts w:hAnsi="宋体" w:cs="宋体"/>
          <w:b/>
          <w:bCs/>
          <w:kern w:val="24"/>
          <w:sz w:val="24"/>
          <w:highlight w:val="none"/>
        </w:rPr>
        <w:t>年</w:t>
      </w:r>
      <w:r>
        <w:rPr>
          <w:rFonts w:hint="eastAsia" w:hAnsi="宋体" w:cs="宋体"/>
          <w:b/>
          <w:bCs/>
          <w:kern w:val="24"/>
          <w:sz w:val="24"/>
          <w:highlight w:val="none"/>
          <w:lang w:val="en-US" w:eastAsia="zh-CN"/>
        </w:rPr>
        <w:t>3</w:t>
      </w:r>
      <w:r>
        <w:rPr>
          <w:rFonts w:hAnsi="宋体" w:cs="宋体"/>
          <w:b/>
          <w:bCs/>
          <w:kern w:val="24"/>
          <w:sz w:val="24"/>
          <w:highlight w:val="none"/>
        </w:rPr>
        <w:t>月</w:t>
      </w:r>
      <w:r>
        <w:rPr>
          <w:rFonts w:hint="eastAsia" w:hAnsi="宋体" w:cs="宋体"/>
          <w:b/>
          <w:bCs/>
          <w:kern w:val="24"/>
          <w:sz w:val="24"/>
          <w:highlight w:val="none"/>
          <w:lang w:val="en-US" w:eastAsia="zh-CN"/>
        </w:rPr>
        <w:t>28</w:t>
      </w:r>
      <w:r>
        <w:rPr>
          <w:rFonts w:hAnsi="宋体" w:cs="宋体"/>
          <w:b/>
          <w:bCs/>
          <w:kern w:val="24"/>
          <w:sz w:val="24"/>
          <w:highlight w:val="none"/>
        </w:rPr>
        <w:t>日下午17时30分前</w:t>
      </w:r>
      <w:r>
        <w:rPr>
          <w:rFonts w:hAnsi="宋体" w:cs="宋体"/>
          <w:kern w:val="24"/>
          <w:sz w:val="24"/>
          <w:highlight w:val="none"/>
        </w:rPr>
        <w:t>（投标</w:t>
      </w:r>
      <w:r>
        <w:rPr>
          <w:rFonts w:hAnsi="宋体" w:cs="宋体"/>
          <w:kern w:val="24"/>
          <w:sz w:val="24"/>
        </w:rPr>
        <w:t>截止时间3个工作日前）将投标保证金从投标人基本账户汇入招标代理公司账户。不得以分公司、办事处或其他机构的名义缴纳，如逾期未缴纳投标保证金的将不予开具保证金收据。</w:t>
      </w:r>
    </w:p>
    <w:p>
      <w:pPr>
        <w:pStyle w:val="9"/>
        <w:numPr>
          <w:ilvl w:val="0"/>
          <w:numId w:val="2"/>
        </w:numPr>
        <w:spacing w:line="420" w:lineRule="exact"/>
        <w:ind w:firstLineChars="0"/>
        <w:rPr>
          <w:rFonts w:ascii="宋体" w:hAnsi="宋体" w:cs="宋体"/>
          <w:color w:val="000000"/>
          <w:sz w:val="24"/>
        </w:rPr>
      </w:pPr>
      <w:r>
        <w:rPr>
          <w:rFonts w:hint="eastAsia" w:ascii="宋体" w:hAnsi="宋体" w:cs="宋体"/>
          <w:color w:val="000000"/>
          <w:sz w:val="24"/>
        </w:rPr>
        <w:t>投</w:t>
      </w:r>
      <w:r>
        <w:rPr>
          <w:rFonts w:ascii="宋体" w:hAnsi="宋体" w:cs="宋体"/>
          <w:color w:val="000000"/>
          <w:sz w:val="24"/>
        </w:rPr>
        <w:t>标保证金金额：</w:t>
      </w:r>
      <w:r>
        <w:rPr>
          <w:rFonts w:hint="eastAsia" w:ascii="宋体" w:hAnsi="宋体" w:cs="宋体"/>
          <w:color w:val="000000"/>
          <w:sz w:val="24"/>
        </w:rPr>
        <w:t>19</w:t>
      </w:r>
      <w:r>
        <w:rPr>
          <w:rFonts w:ascii="宋体" w:hAnsi="宋体" w:cs="宋体"/>
          <w:color w:val="000000"/>
          <w:sz w:val="24"/>
        </w:rPr>
        <w:t>00</w:t>
      </w:r>
      <w:r>
        <w:rPr>
          <w:rFonts w:hint="eastAsia" w:ascii="宋体" w:hAnsi="宋体" w:cs="宋体"/>
          <w:color w:val="000000"/>
          <w:sz w:val="24"/>
        </w:rPr>
        <w:t>0</w:t>
      </w:r>
      <w:r>
        <w:rPr>
          <w:rFonts w:ascii="宋体" w:hAnsi="宋体" w:cs="宋体"/>
          <w:color w:val="000000"/>
          <w:sz w:val="24"/>
        </w:rPr>
        <w:t>.00；</w:t>
      </w:r>
      <w:r>
        <w:rPr>
          <w:rFonts w:hint="eastAsia" w:ascii="宋体" w:hAnsi="宋体" w:cs="宋体"/>
          <w:color w:val="000000"/>
          <w:sz w:val="24"/>
        </w:rPr>
        <w:t>壹万玖仟元整</w:t>
      </w:r>
      <w:r>
        <w:rPr>
          <w:rFonts w:ascii="宋体" w:hAnsi="宋体" w:cs="宋体"/>
          <w:color w:val="000000"/>
          <w:sz w:val="24"/>
        </w:rPr>
        <w:t>。</w:t>
      </w:r>
    </w:p>
    <w:p>
      <w:pPr>
        <w:widowControl/>
        <w:snapToGrid w:val="0"/>
        <w:spacing w:line="400" w:lineRule="atLeast"/>
        <w:ind w:firstLine="481"/>
        <w:jc w:val="left"/>
        <w:textAlignment w:val="baseline"/>
        <w:rPr>
          <w:rFonts w:hAnsi="宋体" w:cs="宋体"/>
          <w:color w:val="000000"/>
          <w:sz w:val="24"/>
        </w:rPr>
      </w:pPr>
      <w:r>
        <w:rPr>
          <w:rFonts w:hAnsi="宋体" w:cs="宋体"/>
          <w:color w:val="000000"/>
          <w:sz w:val="24"/>
        </w:rPr>
        <w:t>② 投标保证金递交账户信息：</w:t>
      </w:r>
    </w:p>
    <w:p>
      <w:pPr>
        <w:widowControl/>
        <w:snapToGrid w:val="0"/>
        <w:spacing w:line="400" w:lineRule="atLeast"/>
        <w:ind w:firstLine="481"/>
        <w:jc w:val="left"/>
        <w:textAlignment w:val="baseline"/>
        <w:rPr>
          <w:rFonts w:hAnsi="宋体" w:cs="宋体"/>
          <w:color w:val="000000"/>
          <w:sz w:val="24"/>
        </w:rPr>
      </w:pPr>
      <w:r>
        <w:rPr>
          <w:rFonts w:hAnsi="宋体" w:cs="宋体"/>
          <w:color w:val="000000"/>
          <w:sz w:val="24"/>
        </w:rPr>
        <w:t>开户名称：西双版纳正禾建设咨询有限公司</w:t>
      </w:r>
    </w:p>
    <w:p>
      <w:pPr>
        <w:widowControl/>
        <w:snapToGrid w:val="0"/>
        <w:spacing w:line="400" w:lineRule="atLeast"/>
        <w:ind w:firstLine="481"/>
        <w:jc w:val="left"/>
        <w:textAlignment w:val="baseline"/>
        <w:rPr>
          <w:rFonts w:hAnsi="宋体" w:cs="宋体"/>
          <w:color w:val="000000"/>
          <w:sz w:val="24"/>
        </w:rPr>
      </w:pPr>
      <w:r>
        <w:rPr>
          <w:rFonts w:hint="eastAsia" w:hAnsi="宋体" w:cs="宋体"/>
          <w:color w:val="000000"/>
          <w:sz w:val="24"/>
        </w:rPr>
        <w:t>账</w:t>
      </w:r>
      <w:r>
        <w:rPr>
          <w:rFonts w:hAnsi="宋体" w:cs="宋体"/>
          <w:color w:val="000000"/>
          <w:sz w:val="24"/>
        </w:rPr>
        <w:t>号：</w:t>
      </w:r>
      <w:r>
        <w:rPr>
          <w:rFonts w:hint="eastAsia" w:hAnsi="宋体" w:cs="宋体"/>
          <w:color w:val="000000"/>
          <w:sz w:val="24"/>
        </w:rPr>
        <w:t>5305  0169  8638  0000  0657</w:t>
      </w:r>
    </w:p>
    <w:p>
      <w:pPr>
        <w:widowControl/>
        <w:snapToGrid w:val="0"/>
        <w:spacing w:line="400" w:lineRule="atLeast"/>
        <w:ind w:firstLine="481"/>
        <w:jc w:val="left"/>
        <w:textAlignment w:val="baseline"/>
      </w:pPr>
      <w:r>
        <w:rPr>
          <w:rFonts w:hAnsi="宋体" w:cs="宋体"/>
          <w:color w:val="000000"/>
          <w:sz w:val="24"/>
        </w:rPr>
        <w:t>开户银行：</w:t>
      </w:r>
      <w:r>
        <w:rPr>
          <w:rFonts w:hint="eastAsia" w:hAnsi="宋体" w:cs="宋体"/>
          <w:color w:val="000000"/>
          <w:sz w:val="24"/>
        </w:rPr>
        <w:t>中国建设银行股份有限公司景洪东路支行</w:t>
      </w:r>
    </w:p>
    <w:p>
      <w:pPr>
        <w:widowControl/>
        <w:snapToGrid w:val="0"/>
        <w:spacing w:line="400" w:lineRule="atLeast"/>
        <w:ind w:firstLine="481"/>
        <w:jc w:val="left"/>
        <w:textAlignment w:val="baseline"/>
        <w:rPr>
          <w:rFonts w:cs="宋体"/>
          <w:kern w:val="24"/>
          <w:sz w:val="24"/>
        </w:rPr>
      </w:pPr>
      <w:r>
        <w:rPr>
          <w:rFonts w:hAnsi="宋体" w:cs="宋体"/>
          <w:color w:val="000000"/>
          <w:sz w:val="24"/>
        </w:rPr>
        <w:t>投标保证金相关事宜请联系：胡工  联系电话：15758500149</w:t>
      </w:r>
      <w:r>
        <w:rPr>
          <w:rFonts w:hAnsi="宋体" w:cs="宋体"/>
          <w:kern w:val="24"/>
          <w:sz w:val="24"/>
        </w:rPr>
        <w:t>。</w:t>
      </w:r>
    </w:p>
    <w:p>
      <w:pPr>
        <w:widowControl/>
        <w:snapToGrid w:val="0"/>
        <w:spacing w:line="400" w:lineRule="atLeast"/>
        <w:jc w:val="left"/>
        <w:textAlignment w:val="baseline"/>
        <w:rPr>
          <w:rFonts w:cs="宋体"/>
          <w:b/>
          <w:bCs/>
          <w:color w:val="000000"/>
          <w:sz w:val="24"/>
        </w:rPr>
      </w:pPr>
      <w:r>
        <w:rPr>
          <w:rFonts w:hAnsi="宋体" w:cs="宋体"/>
          <w:b/>
          <w:bCs/>
          <w:color w:val="000000"/>
          <w:sz w:val="24"/>
        </w:rPr>
        <w:t>九、注意事项</w:t>
      </w:r>
    </w:p>
    <w:p>
      <w:pPr>
        <w:widowControl/>
        <w:snapToGrid w:val="0"/>
        <w:spacing w:line="400" w:lineRule="atLeast"/>
        <w:ind w:firstLine="480" w:firstLineChars="200"/>
        <w:jc w:val="left"/>
        <w:textAlignment w:val="baseline"/>
        <w:rPr>
          <w:rFonts w:cs="宋体"/>
          <w:color w:val="000000"/>
          <w:sz w:val="24"/>
        </w:rPr>
      </w:pPr>
      <w:r>
        <w:rPr>
          <w:rFonts w:hAnsi="宋体" w:cs="宋体"/>
          <w:color w:val="000000"/>
          <w:sz w:val="24"/>
        </w:rPr>
        <w:t>9.1投标供应商在投标前务必认真阅读本招标文件全部内容；招标文件如有变更，将以网上公告形式发布，请在投标截止时间前经常访问“云南省政府采购网”、“</w:t>
      </w:r>
      <w:r>
        <w:rPr>
          <w:rFonts w:hint="eastAsia" w:hAnsi="宋体" w:cs="宋体"/>
          <w:color w:val="000000"/>
          <w:sz w:val="24"/>
          <w:lang w:eastAsia="zh-CN"/>
        </w:rPr>
        <w:t>云南省</w:t>
      </w:r>
      <w:bookmarkStart w:id="2" w:name="_GoBack"/>
      <w:bookmarkEnd w:id="2"/>
      <w:r>
        <w:rPr>
          <w:rFonts w:hAnsi="宋体" w:cs="宋体"/>
          <w:color w:val="000000"/>
          <w:sz w:val="24"/>
        </w:rPr>
        <w:t>公共资源电子服务系统”“楚雄州公共资源电子服务系统”获取最新信息，若有变更，请投标供应商自行登录“楚雄州公共资源电子服务系统”查看修改内容，无须回复确认已收到修改。</w:t>
      </w:r>
    </w:p>
    <w:p>
      <w:pPr>
        <w:widowControl/>
        <w:snapToGrid w:val="0"/>
        <w:spacing w:line="400" w:lineRule="atLeast"/>
        <w:jc w:val="left"/>
        <w:textAlignment w:val="baseline"/>
        <w:rPr>
          <w:rFonts w:cs="宋体"/>
          <w:b/>
          <w:bCs/>
          <w:color w:val="000000"/>
          <w:sz w:val="24"/>
        </w:rPr>
      </w:pPr>
      <w:r>
        <w:rPr>
          <w:rFonts w:hAnsi="宋体" w:cs="宋体"/>
          <w:b/>
          <w:bCs/>
          <w:color w:val="000000"/>
          <w:sz w:val="24"/>
        </w:rPr>
        <w:t>十、发布公告的媒介</w:t>
      </w:r>
    </w:p>
    <w:p>
      <w:pPr>
        <w:spacing w:line="360" w:lineRule="auto"/>
        <w:ind w:firstLine="480" w:firstLineChars="200"/>
        <w:rPr>
          <w:b/>
          <w:bCs/>
          <w:kern w:val="0"/>
          <w:sz w:val="24"/>
        </w:rPr>
      </w:pPr>
      <w:r>
        <w:rPr>
          <w:rFonts w:hint="eastAsia" w:hAnsi="宋体"/>
          <w:kern w:val="0"/>
          <w:sz w:val="24"/>
        </w:rPr>
        <w:t>10.1</w:t>
      </w:r>
      <w:r>
        <w:rPr>
          <w:rFonts w:hAnsi="宋体"/>
          <w:kern w:val="0"/>
          <w:sz w:val="24"/>
        </w:rPr>
        <w:t>本次招标公告在《云南省政府采购网》（http://www.yngp.com/）、《云南省公共资源交易电子服务系统》、《楚雄州公共资源交易电子服务系统》</w:t>
      </w:r>
      <w:r>
        <w:rPr>
          <w:rFonts w:hAnsi="宋体" w:cs="宋体"/>
          <w:color w:val="000000"/>
          <w:sz w:val="24"/>
        </w:rPr>
        <w:t>((http://www.cxggzy.cn//）</w:t>
      </w:r>
      <w:r>
        <w:rPr>
          <w:rFonts w:hAnsi="宋体"/>
          <w:kern w:val="0"/>
          <w:sz w:val="24"/>
        </w:rPr>
        <w:t>上发布。</w:t>
      </w:r>
    </w:p>
    <w:p>
      <w:pPr>
        <w:spacing w:line="360" w:lineRule="auto"/>
        <w:rPr>
          <w:rFonts w:hAnsi="宋体"/>
          <w:b/>
          <w:sz w:val="24"/>
        </w:rPr>
      </w:pPr>
      <w:r>
        <w:rPr>
          <w:rFonts w:hAnsi="宋体"/>
          <w:b/>
          <w:sz w:val="24"/>
        </w:rPr>
        <w:t>十一、联系方式</w:t>
      </w:r>
    </w:p>
    <w:p>
      <w:pPr>
        <w:spacing w:line="360" w:lineRule="auto"/>
        <w:ind w:firstLine="426"/>
        <w:rPr>
          <w:b/>
          <w:color w:val="000000"/>
          <w:sz w:val="24"/>
          <w:szCs w:val="24"/>
        </w:rPr>
      </w:pPr>
      <w:r>
        <w:rPr>
          <w:rFonts w:hint="eastAsia" w:hAnsi="宋体"/>
          <w:b/>
          <w:color w:val="000000"/>
          <w:sz w:val="24"/>
          <w:szCs w:val="24"/>
        </w:rPr>
        <w:t>采购人：元谋县移民开发局</w:t>
      </w:r>
    </w:p>
    <w:p>
      <w:pPr>
        <w:spacing w:line="360" w:lineRule="auto"/>
        <w:ind w:firstLine="426"/>
        <w:rPr>
          <w:color w:val="000000"/>
          <w:sz w:val="24"/>
          <w:szCs w:val="24"/>
        </w:rPr>
      </w:pPr>
      <w:r>
        <w:rPr>
          <w:rFonts w:hint="eastAsia" w:hAnsi="宋体"/>
          <w:color w:val="000000"/>
          <w:sz w:val="24"/>
          <w:szCs w:val="24"/>
        </w:rPr>
        <w:t>地址：元谋县元马镇元东路66号</w:t>
      </w:r>
    </w:p>
    <w:p>
      <w:pPr>
        <w:spacing w:line="360" w:lineRule="auto"/>
        <w:ind w:firstLine="426"/>
        <w:rPr>
          <w:color w:val="000000"/>
          <w:sz w:val="24"/>
          <w:szCs w:val="24"/>
        </w:rPr>
      </w:pPr>
      <w:r>
        <w:rPr>
          <w:rFonts w:hint="eastAsia" w:hAnsi="宋体"/>
          <w:color w:val="000000"/>
          <w:sz w:val="24"/>
          <w:szCs w:val="24"/>
        </w:rPr>
        <w:t>联系人：李工</w:t>
      </w:r>
    </w:p>
    <w:p>
      <w:pPr>
        <w:spacing w:line="360" w:lineRule="auto"/>
        <w:ind w:firstLine="426"/>
        <w:rPr>
          <w:color w:val="000000"/>
          <w:sz w:val="24"/>
          <w:szCs w:val="24"/>
        </w:rPr>
      </w:pPr>
      <w:r>
        <w:rPr>
          <w:rFonts w:hint="eastAsia" w:hAnsi="宋体"/>
          <w:color w:val="000000"/>
          <w:sz w:val="24"/>
          <w:szCs w:val="24"/>
        </w:rPr>
        <w:t>联系电话：0878-8316563</w:t>
      </w:r>
    </w:p>
    <w:p>
      <w:pPr>
        <w:spacing w:line="360" w:lineRule="auto"/>
        <w:ind w:firstLine="426"/>
        <w:rPr>
          <w:b/>
          <w:color w:val="000000"/>
          <w:sz w:val="24"/>
          <w:szCs w:val="24"/>
        </w:rPr>
      </w:pPr>
      <w:r>
        <w:rPr>
          <w:rFonts w:hint="eastAsia" w:hAnsi="宋体"/>
          <w:b/>
          <w:color w:val="000000"/>
          <w:sz w:val="24"/>
          <w:szCs w:val="24"/>
        </w:rPr>
        <w:t>采购代理机构：西双版纳正禾建设咨询有限公司</w:t>
      </w:r>
    </w:p>
    <w:p>
      <w:pPr>
        <w:spacing w:line="360" w:lineRule="auto"/>
        <w:ind w:firstLine="480" w:firstLineChars="200"/>
        <w:rPr>
          <w:color w:val="000000"/>
          <w:sz w:val="24"/>
          <w:szCs w:val="24"/>
        </w:rPr>
      </w:pPr>
      <w:r>
        <w:rPr>
          <w:rFonts w:hint="eastAsia" w:hAnsi="宋体"/>
          <w:color w:val="000000"/>
          <w:sz w:val="24"/>
          <w:szCs w:val="24"/>
        </w:rPr>
        <w:t>地址：</w:t>
      </w:r>
      <w:r>
        <w:rPr>
          <w:rFonts w:hint="eastAsia" w:hAnsi="Times New Roman"/>
          <w:color w:val="000000"/>
          <w:sz w:val="24"/>
          <w:szCs w:val="24"/>
        </w:rPr>
        <w:t>西双版纳景洪市勐海路正禾居</w:t>
      </w:r>
    </w:p>
    <w:p>
      <w:pPr>
        <w:spacing w:line="360" w:lineRule="auto"/>
        <w:ind w:firstLine="480" w:firstLineChars="200"/>
        <w:rPr>
          <w:rFonts w:hint="eastAsia" w:hAnsi="宋体"/>
          <w:color w:val="000000"/>
          <w:sz w:val="24"/>
          <w:szCs w:val="24"/>
        </w:rPr>
      </w:pPr>
      <w:r>
        <w:rPr>
          <w:rFonts w:hint="eastAsia" w:hAnsi="宋体"/>
          <w:color w:val="000000"/>
          <w:sz w:val="24"/>
          <w:szCs w:val="24"/>
        </w:rPr>
        <w:t>联系人：杨工    胡工</w:t>
      </w:r>
    </w:p>
    <w:p>
      <w:pPr>
        <w:spacing w:line="360" w:lineRule="auto"/>
        <w:ind w:firstLine="426"/>
        <w:rPr>
          <w:rFonts w:hint="eastAsia" w:hAnsi="宋体"/>
          <w:color w:val="000000"/>
          <w:sz w:val="24"/>
          <w:szCs w:val="24"/>
        </w:rPr>
      </w:pPr>
      <w:r>
        <w:rPr>
          <w:rFonts w:hint="eastAsia" w:hAnsi="宋体"/>
          <w:color w:val="000000"/>
          <w:sz w:val="24"/>
          <w:szCs w:val="24"/>
        </w:rPr>
        <w:t>联系电话：15758500149</w:t>
      </w:r>
    </w:p>
    <w:p>
      <w:pPr>
        <w:spacing w:line="360" w:lineRule="auto"/>
        <w:ind w:firstLine="480" w:firstLineChars="200"/>
        <w:rPr>
          <w:color w:val="000000"/>
          <w:sz w:val="24"/>
          <w:szCs w:val="24"/>
        </w:rPr>
      </w:pPr>
      <w:r>
        <w:rPr>
          <w:rFonts w:hint="eastAsia" w:hAnsi="宋体"/>
          <w:color w:val="000000"/>
          <w:sz w:val="24"/>
          <w:szCs w:val="24"/>
        </w:rPr>
        <w:t>邮箱：654166012@qq.com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font3-Identity-H">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D53D"/>
    <w:multiLevelType w:val="singleLevel"/>
    <w:tmpl w:val="5C6AD53D"/>
    <w:lvl w:ilvl="0" w:tentative="0">
      <w:start w:val="3"/>
      <w:numFmt w:val="chineseCounting"/>
      <w:suff w:val="nothing"/>
      <w:lvlText w:val="%1、"/>
      <w:lvlJc w:val="left"/>
    </w:lvl>
  </w:abstractNum>
  <w:abstractNum w:abstractNumId="1">
    <w:nsid w:val="797C582A"/>
    <w:multiLevelType w:val="multilevel"/>
    <w:tmpl w:val="797C582A"/>
    <w:lvl w:ilvl="0" w:tentative="0">
      <w:start w:val="1"/>
      <w:numFmt w:val="decimalEnclosedCircle"/>
      <w:lvlText w:val="%1"/>
      <w:lvlJc w:val="left"/>
      <w:pPr>
        <w:ind w:left="840" w:hanging="360"/>
      </w:pPr>
      <w:rPr>
        <w:rFonts w:hint="default" w:ascii="宋体" w:hAnsi="宋体" w:cs="宋体"/>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FE"/>
    <w:rsid w:val="0019222A"/>
    <w:rsid w:val="002B6929"/>
    <w:rsid w:val="00327710"/>
    <w:rsid w:val="005B12FE"/>
    <w:rsid w:val="00CB37F9"/>
    <w:rsid w:val="14164AFC"/>
    <w:rsid w:val="1FAB7957"/>
    <w:rsid w:val="240A14BA"/>
    <w:rsid w:val="369B77E4"/>
    <w:rsid w:val="3FB47AD6"/>
    <w:rsid w:val="7CEC36F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Courier New" w:eastAsia="宋体" w:cs="Times New Roman"/>
      <w:kern w:val="2"/>
      <w:sz w:val="21"/>
      <w:szCs w:val="20"/>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uiPriority w:val="99"/>
    <w:rPr>
      <w:color w:val="0000FF"/>
      <w:u w:val="single"/>
    </w:rPr>
  </w:style>
  <w:style w:type="character" w:customStyle="1" w:styleId="7">
    <w:name w:val="页眉 Char"/>
    <w:basedOn w:val="4"/>
    <w:link w:val="3"/>
    <w:uiPriority w:val="99"/>
    <w:rPr>
      <w:sz w:val="18"/>
      <w:szCs w:val="18"/>
    </w:rPr>
  </w:style>
  <w:style w:type="character" w:customStyle="1" w:styleId="8">
    <w:name w:val="页脚 Char"/>
    <w:basedOn w:val="4"/>
    <w:link w:val="2"/>
    <w:qFormat/>
    <w:uiPriority w:val="99"/>
    <w:rPr>
      <w:sz w:val="18"/>
      <w:szCs w:val="18"/>
    </w:rPr>
  </w:style>
  <w:style w:type="paragraph" w:customStyle="1" w:styleId="9">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592</Words>
  <Characters>3377</Characters>
  <Lines>28</Lines>
  <Paragraphs>7</Paragraphs>
  <TotalTime>0</TotalTime>
  <ScaleCrop>false</ScaleCrop>
  <LinksUpToDate>false</LinksUpToDate>
  <CharactersWithSpaces>3962</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2019-03-06T01:22:00Z</dcterms:created>
  <dc:creator>ZJY</dc:creator>
  <cp:lastModifiedBy>Administrator</cp:lastModifiedBy>
  <cp:lastPrinted>2019-03-06T01:35:00Z</cp:lastPrinted>
  <dcterms:modified xsi:type="dcterms:W3CDTF">2019-03-07T07:52:28Z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